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44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3"/>
        <w:gridCol w:w="4805"/>
        <w:gridCol w:w="4796"/>
      </w:tblGrid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  <w:bookmarkStart w:id="0" w:name="_GoBack"/>
            <w:bookmarkEnd w:id="0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1C3AE2">
            <w:pPr>
              <w:spacing w:after="120"/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  <w:b/>
              </w:rPr>
              <w:t>„</w:t>
            </w:r>
            <w:r w:rsidRPr="001C3AE2">
              <w:rPr>
                <w:rFonts w:asciiTheme="minorHAnsi" w:hAnsiTheme="minorHAnsi"/>
                <w:b/>
                <w:lang w:val="it-IT"/>
              </w:rPr>
              <w:t>People satisfaction“ basiert auf:</w:t>
            </w:r>
          </w:p>
          <w:p w:rsidR="00906540" w:rsidRPr="00C06488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Persönlichem Gleichgewicht, Umfeldgleichgewicht, organisatorischem Gleichgewicht, professionellem Gleichgewicht</w:t>
            </w:r>
          </w:p>
          <w:p w:rsidR="00906540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Zufriedenheitsgrad der Bürger mit der Verwaltung</w:t>
            </w:r>
          </w:p>
          <w:p w:rsidR="00906540" w:rsidRPr="001C3AE2" w:rsidRDefault="00906540" w:rsidP="00112C35">
            <w:pPr>
              <w:pStyle w:val="Listenabsatz"/>
              <w:ind w:left="360"/>
              <w:rPr>
                <w:rFonts w:asciiTheme="minorHAnsi" w:hAnsiTheme="minorHAnsi"/>
              </w:rPr>
            </w:pPr>
          </w:p>
          <w:p w:rsidR="00906540" w:rsidRPr="001C3AE2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Zufriedenheitsgrad der Verwalter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1C3AE2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53A20" wp14:editId="04F3CA93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-721360</wp:posOffset>
                      </wp:positionV>
                      <wp:extent cx="619125" cy="533400"/>
                      <wp:effectExtent l="0" t="0" r="9525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6540" w:rsidRPr="00FA6D24" w:rsidRDefault="00906540" w:rsidP="00906540">
                                  <w:pPr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E53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97.85pt;margin-top:-56.8pt;width:48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" fillcolor="white [3201]" stroked="f" strokeweight=".5pt">
                      <v:textbox>
                        <w:txbxContent>
                          <w:p w:rsidR="00906540" w:rsidRPr="00FA6D24" w:rsidRDefault="00906540" w:rsidP="00906540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B1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0447">
              <w:rPr>
                <w:rFonts w:asciiTheme="minorHAnsi" w:hAnsiTheme="minorHAnsi"/>
                <w:b/>
                <w:lang w:val="it-IT"/>
              </w:rPr>
              <w:t xml:space="preserve">„People </w:t>
            </w:r>
            <w:proofErr w:type="spellStart"/>
            <w:r w:rsidRPr="000A0447">
              <w:rPr>
                <w:rFonts w:asciiTheme="minorHAnsi" w:hAnsiTheme="minorHAnsi"/>
                <w:b/>
                <w:lang w:val="it-IT"/>
              </w:rPr>
              <w:t>satisfaction</w:t>
            </w:r>
            <w:proofErr w:type="spellEnd"/>
            <w:r w:rsidRPr="000A0447">
              <w:rPr>
                <w:rFonts w:asciiTheme="minorHAnsi" w:hAnsiTheme="minorHAnsi"/>
                <w:b/>
                <w:lang w:val="it-IT"/>
              </w:rPr>
              <w:t>“ si fonda:</w:t>
            </w:r>
          </w:p>
          <w:p w:rsidR="00906540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sull’equilibrio personale, equilibrio ambientale, equilibrio organizzativo, equilibrio professionale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sul grado di soddisfazione dei cittadini verso l’amministrazione</w:t>
            </w:r>
          </w:p>
          <w:p w:rsidR="00906540" w:rsidRPr="000A0447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sul grado di soddisfazione degli amministratori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D223A7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Abänderungen am Bestand des geschlossenen Hofes werden genehmigt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vom Bürgermeister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vom Landesrat für Landwirtschaft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von der örtlichen Höfekommission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D223A7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Le modifiche alla consistenza del maso chiuso vengono approvate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dal sindaco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dall’assessore provinciale per l’agricoltura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dalla locale commissione per i masi chiusi 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Bei der vertikalen Mobilität wird laut den Bestimmungen des Artikels 96 des Kodex der örtlichen Körperschaften der Autonomen Region Trentino-Südtirol: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das erforderliche Dienstalter durch einen spezifischen Studientitel ersetzt.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 xml:space="preserve">der erforderliche Studientitel durch ein spezifisches Dienstalter ersetzt. 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der erforderliche Studientitel und das erforderliche Dienstalter durch eine entsprechende Eigenerklärung ersetzt.</w:t>
            </w:r>
          </w:p>
        </w:tc>
        <w:tc>
          <w:tcPr>
            <w:tcW w:w="4796" w:type="dxa"/>
            <w:shd w:val="clear" w:color="auto" w:fill="auto"/>
          </w:tcPr>
          <w:p w:rsidR="00906540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Ai sensi dell’articolo 96 del codice degli enti locali della Regione Autonoma Trentino-Alto Adige per la mobilità verticale si intende:</w:t>
            </w:r>
          </w:p>
          <w:p w:rsidR="00906540" w:rsidRPr="000A0447" w:rsidRDefault="00906540" w:rsidP="00112C35">
            <w:pPr>
              <w:rPr>
                <w:rFonts w:asciiTheme="minorHAnsi" w:hAnsiTheme="minorHAnsi"/>
                <w:b/>
                <w:lang w:val="it-IT"/>
              </w:rPr>
            </w:pP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sostituzione dell’anzianità di servizio richiesta con uno specifico titolo di studio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sostituzione del titolo di studio richiesto con una specifica anzianità di servizio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sostituzione del titolo di studio richiesto e dell’anzianità di servizio richiesta con una rispettiva autodichiarazione.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41627A" w:rsidRDefault="00906540" w:rsidP="00D223A7">
            <w:pPr>
              <w:spacing w:after="120"/>
              <w:rPr>
                <w:rFonts w:asciiTheme="minorHAnsi" w:hAnsiTheme="minorHAnsi"/>
                <w:b/>
              </w:rPr>
            </w:pPr>
            <w:r w:rsidRPr="0041627A">
              <w:rPr>
                <w:rFonts w:asciiTheme="minorHAnsi" w:hAnsiTheme="minorHAnsi"/>
                <w:b/>
              </w:rPr>
              <w:t>Break even point bedeutet:</w:t>
            </w:r>
          </w:p>
          <w:p w:rsidR="00906540" w:rsidRPr="0041627A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das </w:t>
            </w:r>
            <w:r w:rsidRPr="0041627A">
              <w:rPr>
                <w:rFonts w:asciiTheme="minorHAnsi" w:hAnsiTheme="minorHAnsi"/>
              </w:rPr>
              <w:t>Einhalten des vordefinierten Planes</w:t>
            </w:r>
          </w:p>
          <w:p w:rsidR="00906540" w:rsidRPr="0041627A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die </w:t>
            </w:r>
            <w:r w:rsidRPr="0041627A">
              <w:rPr>
                <w:rFonts w:asciiTheme="minorHAnsi" w:hAnsiTheme="minorHAnsi"/>
              </w:rPr>
              <w:t>Senkung der Standardkosten</w:t>
            </w:r>
          </w:p>
          <w:p w:rsidR="00906540" w:rsidRPr="0041627A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die Schwelle an der die Erlöse die Kosten überschreite</w:t>
            </w:r>
            <w:r w:rsidRPr="0041627A">
              <w:rPr>
                <w:rFonts w:asciiTheme="minorHAnsi" w:hAnsiTheme="minorHAnsi"/>
              </w:rPr>
              <w:t>;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D223A7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Break even point significa:</w:t>
            </w:r>
          </w:p>
          <w:p w:rsidR="00906540" w:rsidRPr="000A0447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Rispettare il piano predeterminato</w:t>
            </w:r>
          </w:p>
          <w:p w:rsidR="00906540" w:rsidRPr="000A0447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Riduzione dei costi standard</w:t>
            </w:r>
          </w:p>
          <w:p w:rsidR="00906540" w:rsidRPr="000A0447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Soglia dove i ricavi superano i costi 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D223A7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Das „Controlling“ ist das Kontrollsystem das die Führung auf die Erreichung: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der Ziele ausrichtet, die während der Programmierung bestimmt werden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Größenvorteile</w:t>
            </w:r>
            <w:r>
              <w:rPr>
                <w:rFonts w:asciiTheme="minorHAnsi" w:hAnsiTheme="minorHAnsi"/>
              </w:rPr>
              <w:t xml:space="preserve"> ausgerichtet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 xml:space="preserve">Innovationsziele </w:t>
            </w:r>
            <w:r>
              <w:rPr>
                <w:rFonts w:asciiTheme="minorHAnsi" w:hAnsiTheme="minorHAnsi"/>
              </w:rPr>
              <w:t>ausgerichtet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D223A7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Il controllo di gestione è il sistema di controllo che indirizza la direzione verso il conseguimento di:</w:t>
            </w:r>
          </w:p>
          <w:p w:rsidR="00906540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obiettivi stabiliti in sede di programmazione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economie di scala</w:t>
            </w:r>
          </w:p>
          <w:p w:rsidR="00906540" w:rsidRPr="000A0447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obbiettivi di innovazione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Das Autonomiestatut </w:t>
            </w:r>
          </w:p>
          <w:p w:rsidR="00906540" w:rsidRPr="00C06488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steht im Verfassungsrang.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steht im Rang eines ordentlichen Gesetzes.</w:t>
            </w:r>
          </w:p>
          <w:p w:rsidR="00906540" w:rsidRPr="001C3AE2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steht im Rang einer Verordnung.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Lo Statuto di Autonomia: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è di rango costituzionale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ha il rango di una legge ordinaria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ha il rango di un regolamento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Das öffentliche Rechnungswesen fußt auf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Kameralistik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doppelte</w:t>
            </w:r>
            <w:r>
              <w:rPr>
                <w:rFonts w:asciiTheme="minorHAnsi" w:hAnsiTheme="minorHAnsi"/>
              </w:rPr>
              <w:t>r</w:t>
            </w:r>
            <w:r w:rsidRPr="001C3AE2">
              <w:rPr>
                <w:rFonts w:asciiTheme="minorHAnsi" w:hAnsiTheme="minorHAnsi"/>
              </w:rPr>
              <w:t xml:space="preserve"> Buchhaltung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Kameralistik und doppelte Buchhaltung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La contabilità pubblica si basa su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cameralistica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partita doppia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cameralistica e partita doppia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D223A7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Das Organisationssystem wird definiert als:</w:t>
            </w:r>
          </w:p>
          <w:p w:rsidR="00906540" w:rsidRPr="00C06488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Einheit von untereinander abhängiger Betriebsteile, die sich gegenseitig beeinflussen</w:t>
            </w:r>
          </w:p>
          <w:p w:rsidR="00906540" w:rsidRPr="001C3AE2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lastRenderedPageBreak/>
              <w:t>Organigramm</w:t>
            </w:r>
          </w:p>
          <w:p w:rsidR="00906540" w:rsidRPr="001C3AE2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Plan für die Produktionsprozesse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D223A7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lastRenderedPageBreak/>
              <w:t>Il sistema organizzativo viene definito come:</w:t>
            </w:r>
          </w:p>
          <w:p w:rsidR="00906540" w:rsidRPr="000A0447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eastAsia="Times New Roman" w:hAnsiTheme="minorHAnsi"/>
                <w:lang w:val="it-IT"/>
              </w:rPr>
            </w:pPr>
            <w:r w:rsidRPr="000A0447">
              <w:rPr>
                <w:rFonts w:asciiTheme="minorHAnsi" w:eastAsia="Times New Roman" w:hAnsiTheme="minorHAnsi"/>
                <w:lang w:val="it-IT"/>
              </w:rPr>
              <w:t xml:space="preserve">Unità composta da elementi </w:t>
            </w:r>
            <w:r>
              <w:rPr>
                <w:rFonts w:asciiTheme="minorHAnsi" w:eastAsia="Times New Roman" w:hAnsiTheme="minorHAnsi"/>
                <w:lang w:val="it-IT"/>
              </w:rPr>
              <w:t xml:space="preserve">aziendali </w:t>
            </w:r>
            <w:r w:rsidRPr="000A0447">
              <w:rPr>
                <w:rFonts w:asciiTheme="minorHAnsi" w:eastAsia="Times New Roman" w:hAnsiTheme="minorHAnsi"/>
                <w:lang w:val="it-IT"/>
              </w:rPr>
              <w:t>tra di loro dipendenti, che si influenzano reciprocamente</w:t>
            </w:r>
          </w:p>
          <w:p w:rsidR="00906540" w:rsidRPr="000A0447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eastAsia="Times New Roman" w:hAnsiTheme="minorHAnsi"/>
                <w:lang w:val="it-IT"/>
              </w:rPr>
            </w:pPr>
            <w:r w:rsidRPr="000A0447">
              <w:rPr>
                <w:rFonts w:asciiTheme="minorHAnsi" w:eastAsia="Times New Roman" w:hAnsiTheme="minorHAnsi"/>
                <w:lang w:val="it-IT"/>
              </w:rPr>
              <w:lastRenderedPageBreak/>
              <w:t>Organigramma</w:t>
            </w:r>
          </w:p>
          <w:p w:rsidR="00906540" w:rsidRPr="000A0447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eastAsia="Times New Roman" w:hAnsiTheme="minorHAnsi"/>
                <w:lang w:val="it-IT"/>
              </w:rPr>
              <w:t>Piano per i processi produttivi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Der öffentliche Haushalt </w:t>
            </w:r>
          </w:p>
          <w:p w:rsidR="00906540" w:rsidRPr="00C06488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muss ausgeglichen sein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kann in gewissen Fällen unausgeglichen sein</w:t>
            </w:r>
          </w:p>
          <w:p w:rsidR="00906540" w:rsidRPr="001C3AE2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kann außeretatmäßige Gebarungen vorweisen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 xml:space="preserve">Il bilancio pubblico 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deve essere in pareggio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può essere non in pareggio in alcuni casi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può presentare gestioni fuori bilancio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Der Rechnungshof ist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ein beratendes Organ der Regierung.</w:t>
            </w:r>
          </w:p>
          <w:p w:rsidR="00906540" w:rsidRPr="00C06488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ein Organ von verfassungsrechtlicher Bedeutung mit Hilfs- und Unterstützungsfunktion für Regierung und Parlament.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ein Organ, welches an der politischen Leitungsfunktion teilnimmt.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La Corte dei conti è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un organo consultivo del Governo.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un organo di rilevanza costituzionale, in rapporto di ausiliarità e sostegno del Governo e del Parlamento.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un organo che partecipa alla funzione di indirizzo politico.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Der Rechnungsprüfer 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ist ein technischer Berater des Bürgermeisters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ersetzt den Buchhalter in seiner Abwesenheit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ist ein Hilfsorgan des Gemeinderates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Il revisore dei conti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 è un consulente tecnico del Sindaco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sostituisce il contabile in caso di assenza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è un organo ausiliare del consiglio comunale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Abschlussrechnung der Gemeinde besteht aus: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der Haushaltsrechnung, der Erfolgsrechnung und der Vermögensrechnung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dem Haushaltsvollzugsplan, der Bilanz und der Vermögensrechnung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dem Begleitbericht und dem Mehr</w:t>
            </w:r>
            <w:r w:rsidRPr="001C3AE2">
              <w:rPr>
                <w:rFonts w:asciiTheme="minorHAnsi" w:hAnsiTheme="minorHAnsi"/>
              </w:rPr>
              <w:softHyphen/>
              <w:t>jahres</w:t>
            </w:r>
            <w:r w:rsidRPr="001C3AE2">
              <w:rPr>
                <w:rFonts w:asciiTheme="minorHAnsi" w:hAnsiTheme="minorHAnsi"/>
              </w:rPr>
              <w:softHyphen/>
              <w:t>haushaltsplan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Il conto consuntivo del comune comprende: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il conto del bilancio, il conto economico e il conto del patrimonio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il piano esecutivo di gestione, il bilancio e il conto del patrimonio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la relazione e il bilancio pluriennale 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616C94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allgemeine Verfahrensdauer der Verwaltungsverfahren auf Antrag in der Autonomen Provinz Bozen beträgt: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30 Tage ab dem Tag, an dem die Verwaltung in Verzug gesetzt worden ist.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30 Tage ab Antragstellung.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60 Tage ab Antragstellung.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616C94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La durata del procedimento amministrativo su istanza di parte nella Provincia Autonoma di Bolzano è di regola: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di 30 giorni a decorrere dalla data di messa in mora dell’amministrazione.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di 30 giorni dall’istanza.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di 60 giorni dall’istanza.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Analogie im Strafrecht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ist nur in den vom Gesetz vorgesehenen Fällen gestattet</w:t>
            </w:r>
          </w:p>
          <w:p w:rsidR="00906540" w:rsidRPr="00C06488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ist nur als Anwendung „in bonam partem“ gestattet</w:t>
            </w:r>
          </w:p>
          <w:p w:rsidR="00906540" w:rsidRPr="001C3AE2" w:rsidRDefault="00906540" w:rsidP="002F18B4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ist in allen Fällen gestattet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L’analogia nel diritto penale</w:t>
            </w:r>
          </w:p>
          <w:p w:rsidR="00906540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è consentita solo nei casi previsti dalla legge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è consentita solo se applicata “in bonam partem”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è sempre consentita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Die Aufnahme von Darlehen ist </w:t>
            </w:r>
            <w:r>
              <w:rPr>
                <w:rFonts w:asciiTheme="minorHAnsi" w:hAnsiTheme="minorHAnsi"/>
                <w:b/>
              </w:rPr>
              <w:t>zulässig</w:t>
            </w:r>
            <w:r w:rsidRPr="001C3AE2">
              <w:rPr>
                <w:rFonts w:asciiTheme="minorHAnsi" w:hAnsiTheme="minorHAnsi"/>
                <w:b/>
              </w:rPr>
              <w:t xml:space="preserve"> für</w:t>
            </w:r>
            <w:r>
              <w:rPr>
                <w:rFonts w:asciiTheme="minorHAnsi" w:hAnsiTheme="minorHAnsi"/>
                <w:b/>
              </w:rPr>
              <w:t xml:space="preserve"> die Deckung von</w:t>
            </w:r>
            <w:r w:rsidRPr="001C3AE2">
              <w:rPr>
                <w:rFonts w:asciiTheme="minorHAnsi" w:hAnsiTheme="minorHAnsi"/>
                <w:b/>
              </w:rPr>
              <w:t>: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Personalausgaben</w:t>
            </w:r>
          </w:p>
          <w:p w:rsidR="00906540" w:rsidRPr="00C06488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Investitionen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</w:rPr>
              <w:t>laufenden Ausgaben im Allgemeinen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L’assunzione di mutui è ammissibile per la copertura di: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spese per il personale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investimenti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spese correnti in generale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Autonome Sektion Bozen des Regionalen Verwaltungsgerichtes hat folgende Sonderkompetenz</w:t>
            </w:r>
            <w:r>
              <w:rPr>
                <w:rFonts w:asciiTheme="minorHAnsi" w:hAnsiTheme="minorHAnsi"/>
                <w:b/>
              </w:rPr>
              <w:t>. Sie entscheidet über:</w:t>
            </w:r>
            <w:r w:rsidRPr="001C3AE2">
              <w:rPr>
                <w:rFonts w:asciiTheme="minorHAnsi" w:hAnsiTheme="minorHAnsi"/>
                <w:b/>
              </w:rPr>
              <w:t xml:space="preserve"> </w:t>
            </w:r>
          </w:p>
          <w:p w:rsidR="00906540" w:rsidRPr="00C06488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lastRenderedPageBreak/>
              <w:t>Rekurs gegen die Verweigerung der Einschreibung eines Schülers in die Schulen der Provinz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Rekurs gegen die Versetzung von Richtern an einen Sitz außerhalb der Provinz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Rekurs gegen die Versetzung von Staatsangestellten an einen Sitz außerhalb der Provinz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lastRenderedPageBreak/>
              <w:t>La Sezione autonoma del Tribunale amministrativo regionale di Bolzano ha la seguente competenza speciale. Decide sul: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lastRenderedPageBreak/>
              <w:t>ricorso contro il diniego di iscrizione di un alunno nelle scuole della Provincia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ricorso contro il trasferimento di magistrati ad una sede fuori Provincia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ricorso contro il trasferimento di impiegati statali ad una sede fuori Provincia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D223A7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drei grundlegenden Arten der Variablen einer Organisation sind:</w:t>
            </w:r>
          </w:p>
          <w:p w:rsidR="00906540" w:rsidRPr="001C3AE2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Fremdkapital, Eigenkapital, Bedienstete</w:t>
            </w:r>
          </w:p>
          <w:p w:rsidR="00906540" w:rsidRPr="001C3AE2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Personal</w:t>
            </w:r>
            <w:r>
              <w:rPr>
                <w:rFonts w:asciiTheme="minorHAnsi" w:hAnsiTheme="minorHAnsi"/>
              </w:rPr>
              <w:t>ressourcen</w:t>
            </w:r>
            <w:r w:rsidRPr="001C3AE2">
              <w:rPr>
                <w:rFonts w:asciiTheme="minorHAnsi" w:hAnsiTheme="minorHAnsi"/>
              </w:rPr>
              <w:t>, Erträge, Darlehen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Organisationsstruktur, operative Systeme, Organisationspotential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Default="00906540" w:rsidP="00D223A7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I tre tipi fondamentali di variabili organizzative sono:</w:t>
            </w:r>
          </w:p>
          <w:p w:rsidR="00906540" w:rsidRPr="000A0447" w:rsidRDefault="00906540" w:rsidP="00112C35">
            <w:pPr>
              <w:rPr>
                <w:rFonts w:asciiTheme="minorHAnsi" w:hAnsiTheme="minorHAnsi"/>
                <w:b/>
                <w:lang w:val="it-IT"/>
              </w:rPr>
            </w:pPr>
          </w:p>
          <w:p w:rsidR="00906540" w:rsidRPr="000A0447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Capitale di terzi, capitale proprio, dipendenti</w:t>
            </w:r>
          </w:p>
          <w:p w:rsidR="00906540" w:rsidRPr="000A0447" w:rsidRDefault="00906540" w:rsidP="00B1163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Risorse umane, ricavi, mutui</w:t>
            </w:r>
          </w:p>
          <w:p w:rsidR="00906540" w:rsidRPr="000A0447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Struttura organizzativa, sistemi operativi, potenziale organizzativo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Mehrwertsteuer ist: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die Steuer auf das Eigentum der Immobilien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die Steuer des italienischen Rundfunk und Fernsehens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 xml:space="preserve">eine auf mehreren Stufen der </w:t>
            </w:r>
            <w:hyperlink r:id="rId8" w:tooltip="Wertschöpfung (Wirtschaft)" w:history="1">
              <w:r w:rsidRPr="00C06488">
                <w:rPr>
                  <w:rFonts w:asciiTheme="minorHAnsi" w:hAnsiTheme="minorHAnsi"/>
                  <w:highlight w:val="yellow"/>
                </w:rPr>
                <w:t>Wertschöpfung</w:t>
              </w:r>
            </w:hyperlink>
            <w:r w:rsidRPr="00C06488">
              <w:rPr>
                <w:rFonts w:asciiTheme="minorHAnsi" w:hAnsiTheme="minorHAnsi"/>
                <w:highlight w:val="yellow"/>
              </w:rPr>
              <w:t xml:space="preserve"> erhobene </w:t>
            </w:r>
            <w:hyperlink r:id="rId9" w:tooltip="Steuer" w:history="1">
              <w:r w:rsidRPr="00C06488">
                <w:rPr>
                  <w:rFonts w:asciiTheme="minorHAnsi" w:hAnsiTheme="minorHAnsi"/>
                  <w:highlight w:val="yellow"/>
                </w:rPr>
                <w:t>Steuer</w:t>
              </w:r>
            </w:hyperlink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L´ Imposta sul valore aggiunto è: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l’imposta relativa alla proprietà di beni immobili</w:t>
            </w:r>
          </w:p>
          <w:p w:rsidR="00906540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l’imposta relativa alla radiotelevisione italiana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un’imposta applicata in più fasi sul valore aggiunto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Die primären </w:t>
            </w:r>
            <w:r>
              <w:rPr>
                <w:rFonts w:asciiTheme="minorHAnsi" w:hAnsiTheme="minorHAnsi"/>
                <w:b/>
              </w:rPr>
              <w:t>Gesetzgebungskompetenzen</w:t>
            </w:r>
            <w:r w:rsidRPr="001C3AE2">
              <w:rPr>
                <w:rFonts w:asciiTheme="minorHAnsi" w:hAnsiTheme="minorHAnsi"/>
                <w:b/>
              </w:rPr>
              <w:t xml:space="preserve"> der Autonomen Provinzen Bozen und Trient sind in folgendem Artikel geregelt: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Artikel 117 Absatz 2 Verfassung.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Artikel 4 Autonomiestatut.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Artikel 8 Autonomiestatu</w:t>
            </w:r>
            <w:r w:rsidRPr="00112C35">
              <w:rPr>
                <w:rFonts w:asciiTheme="minorHAnsi" w:hAnsiTheme="minorHAnsi"/>
                <w:highlight w:val="yellow"/>
              </w:rPr>
              <w:t>t.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Le competenze legislative primarie delle Province Autonome di Bolzano e Trento sono disciplinate nel seguente articolo: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Articolo 117 comma 2 Costituzione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Articolo 4 Statuto di Autonomia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Articolo 8 Statuto di Autonomia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Rückvergütung der Gerichts- Anwalts – und Gutachterkosten steht dem Personal laut Artikel 117 des Kodexes der örtlichen Körperschaften der Autonomen Region Trentino-Südtirol zu: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nur im Zivilverfahren, wenn kein Schadenersatz geschuldet ist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sofern der Beklagte im Straf-, Zivil- und im Verfahren bezüglich Rechnungslegung oder Amtshaftung, nicht wegen vorsätzlich oder grob fahrlässiger Handlungen und Unterlassungen verurteilt bzw. freigesprochen wurde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nur in begründeten Ausnahmefällen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Ai sensi dell’articolo 117 del codice degli enti locali della Regione Autonoma Trentino-Alto Adige il rimborso delle spese giudiziarie, legali e peritali spetta al personale: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solo in caso di giudizi civili nei quali non sia dovuto un risarcimento danni</w:t>
            </w:r>
          </w:p>
          <w:p w:rsidR="00906540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nei giudizi penali, civili, di conto o di responsabilità amministrativa quando il convenuto non sia stato condannato per azioni od omissioni commesse con dolo o colpa grave oppure sia stato prosciolto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solo in casi eccezionali motivati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Die </w:t>
            </w:r>
            <w:r>
              <w:rPr>
                <w:rFonts w:asciiTheme="minorHAnsi" w:hAnsiTheme="minorHAnsi"/>
                <w:b/>
              </w:rPr>
              <w:t>Ü</w:t>
            </w:r>
            <w:r w:rsidRPr="001C3AE2">
              <w:rPr>
                <w:rFonts w:asciiTheme="minorHAnsi" w:hAnsiTheme="minorHAnsi"/>
                <w:b/>
              </w:rPr>
              <w:t>bertragung von dinglichen Rechten erfolgt in der Autonomen Provinz Bozen: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mit Abschluss des Vertrages</w:t>
            </w:r>
          </w:p>
          <w:p w:rsidR="00906540" w:rsidRPr="00C06488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mit der Eintragung im Grundbuch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mit einseitiger Verpflichtungserklärung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Il trasferimento dei diritti reali nella Provincia Autonoma di Bolzano avviene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con la stipula di un contratto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con l’iscrizione nel libro fondiario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eastAsia="Times New Roman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con atto unilaterale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Die Volksanwaltschaft </w:t>
            </w:r>
            <w:r>
              <w:rPr>
                <w:rFonts w:asciiTheme="minorHAnsi" w:hAnsiTheme="minorHAnsi"/>
                <w:b/>
              </w:rPr>
              <w:t>der Autonomen Provinz Bozen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ist bei Volksbefragungen für die ordnungsgemäße Abwicklung des Verfahrens verantwortlich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vertritt minderbemittelte Bürger kostenlos vor Gericht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lastRenderedPageBreak/>
              <w:t>wird auf formlosen Antrag der direkt Betroffenen oder von Amts wegen im Zusammenhang mit nicht regulären Verhaltensweisen seitens der öffentlichen Verwaltung tätig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lastRenderedPageBreak/>
              <w:t>La Difesa civica della Provincia Autonoma di Bolzano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è responsabile del regolare svolgimento del procedimento in caso di referendum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rappresenta gratuitamente in giudizio i cittadini non abbienti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lastRenderedPageBreak/>
              <w:t xml:space="preserve">si attiva su richiesta informale degli interessati o d’ufficio in caso di comportamenti irregolari da parte della pubblica amministrazione 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616C94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Die Wahl des Bürgermeisters erfolgt:</w:t>
            </w:r>
          </w:p>
          <w:p w:rsidR="00906540" w:rsidRPr="00C06488" w:rsidRDefault="00906540" w:rsidP="00616C94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Theme="minorHAnsi" w:eastAsia="Times New Roman" w:hAnsiTheme="minorHAnsi"/>
                <w:highlight w:val="yellow"/>
              </w:rPr>
            </w:pPr>
            <w:r w:rsidRPr="00C06488">
              <w:rPr>
                <w:rFonts w:asciiTheme="minorHAnsi" w:eastAsia="Times New Roman" w:hAnsiTheme="minorHAnsi"/>
                <w:highlight w:val="yellow"/>
              </w:rPr>
              <w:t>mittels Direktwahl seitens der Bürger</w:t>
            </w:r>
          </w:p>
          <w:p w:rsidR="00906540" w:rsidRPr="001C3AE2" w:rsidRDefault="00906540" w:rsidP="00616C94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Theme="minorHAnsi" w:eastAsia="Times New Roman" w:hAnsiTheme="minorHAnsi"/>
              </w:rPr>
            </w:pPr>
            <w:r w:rsidRPr="001C3AE2">
              <w:rPr>
                <w:rFonts w:asciiTheme="minorHAnsi" w:eastAsia="Times New Roman" w:hAnsiTheme="minorHAnsi"/>
              </w:rPr>
              <w:t>mittels Wahl durch den Gemeinderat</w:t>
            </w:r>
          </w:p>
          <w:p w:rsidR="00906540" w:rsidRPr="001C3AE2" w:rsidRDefault="00906540" w:rsidP="00616C94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Theme="minorHAnsi" w:eastAsia="Times New Roman" w:hAnsiTheme="minorHAnsi"/>
                <w:b/>
              </w:rPr>
            </w:pPr>
            <w:r w:rsidRPr="001C3AE2">
              <w:rPr>
                <w:rFonts w:asciiTheme="minorHAnsi" w:eastAsia="Times New Roman" w:hAnsiTheme="minorHAnsi"/>
              </w:rPr>
              <w:t>mittels Wahl durch den Gemeindeausschuss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616C94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L’elezione del sindaco avviene: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112C35">
              <w:rPr>
                <w:rFonts w:asciiTheme="minorHAnsi" w:hAnsiTheme="minorHAnsi"/>
                <w:lang w:val="it-IT"/>
              </w:rPr>
              <w:t xml:space="preserve">attraverso </w:t>
            </w:r>
            <w:r w:rsidRPr="000A0447">
              <w:rPr>
                <w:rFonts w:asciiTheme="minorHAnsi" w:hAnsiTheme="minorHAnsi"/>
                <w:lang w:val="it-IT"/>
              </w:rPr>
              <w:t>elezione diretta da parte dei cittadini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attraverso elezione da parte del consiglio comunale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attraverso elezione da parte della giunta comunale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Eine offene Handelsgesellschaft verfügt über ein Ver</w:t>
            </w:r>
            <w:r w:rsidRPr="001C3AE2">
              <w:rPr>
                <w:rFonts w:asciiTheme="minorHAnsi" w:hAnsiTheme="minorHAnsi"/>
                <w:b/>
              </w:rPr>
              <w:softHyphen/>
              <w:t>mögen von 500.000,00 €, und die beiden Gesellschaf</w:t>
            </w:r>
            <w:r w:rsidRPr="001C3AE2">
              <w:rPr>
                <w:rFonts w:asciiTheme="minorHAnsi" w:hAnsiTheme="minorHAnsi"/>
                <w:b/>
              </w:rPr>
              <w:softHyphen/>
              <w:t>ter haben jeweils zur Gründung den gleichen Anteil (beide 50%) eingebracht. Wieviel müssen die Mitglie</w:t>
            </w:r>
            <w:r w:rsidRPr="001C3AE2">
              <w:rPr>
                <w:rFonts w:asciiTheme="minorHAnsi" w:hAnsiTheme="minorHAnsi"/>
                <w:b/>
              </w:rPr>
              <w:softHyphen/>
              <w:t>der bei einem Verlust von 200.000,00 Euro ein</w:t>
            </w:r>
            <w:r w:rsidRPr="001C3AE2">
              <w:rPr>
                <w:rFonts w:asciiTheme="minorHAnsi" w:hAnsiTheme="minorHAnsi"/>
                <w:b/>
              </w:rPr>
              <w:softHyphen/>
              <w:t>zahlen, um ihn zu decken und die Gläubiger zufrieden zu stel</w:t>
            </w:r>
            <w:r w:rsidRPr="001C3AE2">
              <w:rPr>
                <w:rFonts w:asciiTheme="minorHAnsi" w:hAnsiTheme="minorHAnsi"/>
                <w:b/>
              </w:rPr>
              <w:softHyphen/>
              <w:t>len?</w:t>
            </w:r>
          </w:p>
          <w:p w:rsidR="00906540" w:rsidRPr="00C06488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0,00 Euro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jeweils 100.000,00 Euro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jeweils </w:t>
            </w:r>
            <w:r w:rsidRPr="001C3AE2">
              <w:rPr>
                <w:rFonts w:asciiTheme="minorHAnsi" w:hAnsiTheme="minorHAnsi"/>
              </w:rPr>
              <w:t>250.000,00 Euro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 xml:space="preserve">Una società in nome collettivo ha un patrimonio di euro 500.000,00 e i due soci hanno conferito, in fase di costituzione, entrambi la stessa quota (50% ciascuno). Se si dovesse verificare una perdita di 200.000,00 Euro quanto devono versare i soci per coprirla e soddisfare i creditori? </w:t>
            </w:r>
          </w:p>
          <w:p w:rsidR="00906540" w:rsidRPr="000A0447" w:rsidRDefault="00906540" w:rsidP="002F18B4">
            <w:pPr>
              <w:rPr>
                <w:rFonts w:asciiTheme="minorHAnsi" w:hAnsiTheme="minorHAnsi"/>
                <w:b/>
                <w:lang w:val="it-IT"/>
              </w:rPr>
            </w:pP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0,00 Euro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100.000,00 Euro ciascuno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250.000,00 Euro ciascuno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FC58A3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EU-Richtlinien sind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in allen ihren Teilen unmittelbar verbindlich.</w:t>
            </w:r>
          </w:p>
          <w:p w:rsidR="00906540" w:rsidRPr="00C06488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hinsichtlich ihres Zieles verbindlich.</w:t>
            </w:r>
          </w:p>
          <w:p w:rsidR="00906540" w:rsidRPr="001C3AE2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immer unmittelbar wirksam.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FC58A3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 xml:space="preserve">Le direttive </w:t>
            </w:r>
            <w:proofErr w:type="spellStart"/>
            <w:r w:rsidRPr="000A0447">
              <w:rPr>
                <w:rFonts w:asciiTheme="minorHAnsi" w:hAnsiTheme="minorHAnsi"/>
                <w:b/>
                <w:lang w:val="it-IT"/>
              </w:rPr>
              <w:t>eurounitarie</w:t>
            </w:r>
            <w:proofErr w:type="spellEnd"/>
            <w:r w:rsidRPr="000A0447">
              <w:rPr>
                <w:rFonts w:asciiTheme="minorHAnsi" w:hAnsiTheme="minorHAnsi"/>
                <w:b/>
                <w:lang w:val="it-IT"/>
              </w:rPr>
              <w:t xml:space="preserve"> sono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dotate di efficacia vincolante in tutte le sue parti. 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vincolanti per quanto riguarda gli obiettivi da conseguire.</w:t>
            </w:r>
          </w:p>
          <w:p w:rsidR="00906540" w:rsidRPr="000A0447" w:rsidRDefault="00906540" w:rsidP="002F18B4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sempre direttamente applicabili.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Im Bereich der Lokalfinanz hat </w:t>
            </w:r>
            <w:r>
              <w:rPr>
                <w:rFonts w:asciiTheme="minorHAnsi" w:hAnsiTheme="minorHAnsi"/>
                <w:b/>
              </w:rPr>
              <w:t>die Autonome Provinz Bozen</w:t>
            </w:r>
          </w:p>
          <w:p w:rsidR="00906540" w:rsidRPr="00C06488" w:rsidRDefault="00906540" w:rsidP="008D3B0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primäre Gesetzgebungskompetenz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 xml:space="preserve">sekundäre </w:t>
            </w:r>
            <w:r>
              <w:rPr>
                <w:rFonts w:asciiTheme="minorHAnsi" w:hAnsiTheme="minorHAnsi"/>
              </w:rPr>
              <w:t>Gesetzgebungskompetenz</w:t>
            </w:r>
          </w:p>
          <w:p w:rsidR="00906540" w:rsidRPr="001C3AE2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 xml:space="preserve">keine </w:t>
            </w:r>
            <w:r>
              <w:rPr>
                <w:rFonts w:asciiTheme="minorHAnsi" w:hAnsiTheme="minorHAnsi"/>
              </w:rPr>
              <w:t>Gesetzgebungskompetenz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Nell’ambito della finanza locale la Provincia Autonoma di Bolzano ha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competenza legislativa primaria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competenza legislativa secondaria</w:t>
            </w:r>
          </w:p>
          <w:p w:rsidR="00906540" w:rsidRPr="000A0447" w:rsidRDefault="00906540" w:rsidP="00832E1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nessuna competenza legislativa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In welchen Gemeinden der Provinz Bozen kann der Bürgermeister einen Generaldirektor ernennen?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in allen Gemeinden.</w:t>
            </w:r>
          </w:p>
          <w:p w:rsidR="00906540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in Gemeinden mit mehr als 30.000 Einwohnern.</w:t>
            </w:r>
          </w:p>
          <w:p w:rsidR="00906540" w:rsidRPr="00C06488" w:rsidRDefault="00906540" w:rsidP="00112C35">
            <w:pPr>
              <w:pStyle w:val="Listenabsatz"/>
              <w:ind w:left="360"/>
              <w:rPr>
                <w:rFonts w:asciiTheme="minorHAnsi" w:hAnsiTheme="minorHAnsi"/>
                <w:highlight w:val="yellow"/>
              </w:rPr>
            </w:pP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in Gemeinden mit mehr als 10.000 Einwohnern.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In quali comuni della provincia di Bolzano il sindaco può nominare un direttore generale?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In tutti i comuni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In comuni con popolazione superiore a 30.000 abitanti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In comuni con popolazione superiore a 10.000 abitanti</w:t>
            </w:r>
          </w:p>
        </w:tc>
      </w:tr>
      <w:tr w:rsidR="00906540" w:rsidRPr="002C5703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2C5703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2C5703" w:rsidRDefault="00906540" w:rsidP="00DF5F67">
            <w:pPr>
              <w:pStyle w:val="StandardWeb"/>
              <w:spacing w:after="200" w:line="276" w:lineRule="auto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2C5703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Qualitätsmanagement dient nicht dazu</w:t>
            </w:r>
          </w:p>
          <w:p w:rsidR="00906540" w:rsidRPr="002C5703" w:rsidRDefault="00906540" w:rsidP="002C570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2C5703">
              <w:rPr>
                <w:highlight w:val="yellow"/>
              </w:rPr>
              <w:t xml:space="preserve">Die </w:t>
            </w:r>
            <w:r w:rsidRPr="002C5703">
              <w:rPr>
                <w:rFonts w:asciiTheme="minorHAnsi" w:hAnsiTheme="minorHAnsi"/>
                <w:highlight w:val="yellow"/>
              </w:rPr>
              <w:t>Kosten zu senken</w:t>
            </w:r>
          </w:p>
          <w:p w:rsidR="00906540" w:rsidRPr="002C5703" w:rsidRDefault="00906540" w:rsidP="002C570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C5703">
              <w:rPr>
                <w:rFonts w:asciiTheme="minorHAnsi" w:hAnsiTheme="minorHAnsi"/>
              </w:rPr>
              <w:t>Die Zufriedenheit der Kunden zu steigern</w:t>
            </w:r>
          </w:p>
          <w:p w:rsidR="00906540" w:rsidRPr="002C5703" w:rsidRDefault="00906540" w:rsidP="00DF5F6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C5703">
              <w:rPr>
                <w:rFonts w:asciiTheme="minorHAnsi" w:hAnsiTheme="minorHAnsi"/>
              </w:rPr>
              <w:t>Den</w:t>
            </w:r>
            <w:r w:rsidRPr="002C5703">
              <w:t xml:space="preserve"> Produktionsprozess zu kontrollieren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454F1" w:rsidRDefault="00906540" w:rsidP="002C5703">
            <w:pPr>
              <w:pStyle w:val="StandardWeb"/>
              <w:spacing w:after="200" w:line="276" w:lineRule="auto"/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</w:pPr>
            <w:r w:rsidRPr="001454F1">
              <w:rPr>
                <w:rFonts w:asciiTheme="minorHAnsi" w:hAnsiTheme="minorHAnsi"/>
                <w:b/>
                <w:color w:val="auto"/>
                <w:sz w:val="20"/>
                <w:szCs w:val="20"/>
                <w:lang w:val="it-IT"/>
              </w:rPr>
              <w:t>Il management di qualità non serve a</w:t>
            </w:r>
          </w:p>
          <w:p w:rsidR="00906540" w:rsidRPr="002C5703" w:rsidRDefault="00906540" w:rsidP="002C570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proofErr w:type="spellStart"/>
            <w:r w:rsidRPr="002C5703">
              <w:rPr>
                <w:rFonts w:asciiTheme="minorHAnsi" w:hAnsiTheme="minorHAnsi"/>
              </w:rPr>
              <w:t>abbassare</w:t>
            </w:r>
            <w:proofErr w:type="spellEnd"/>
            <w:r w:rsidRPr="002C5703">
              <w:rPr>
                <w:rFonts w:asciiTheme="minorHAnsi" w:hAnsiTheme="minorHAnsi"/>
              </w:rPr>
              <w:t xml:space="preserve"> i </w:t>
            </w:r>
            <w:proofErr w:type="spellStart"/>
            <w:r w:rsidRPr="002C5703">
              <w:rPr>
                <w:rFonts w:asciiTheme="minorHAnsi" w:hAnsiTheme="minorHAnsi"/>
              </w:rPr>
              <w:t>costi</w:t>
            </w:r>
            <w:proofErr w:type="spellEnd"/>
          </w:p>
          <w:p w:rsidR="00906540" w:rsidRPr="002C5703" w:rsidRDefault="00906540" w:rsidP="002C570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C5703">
              <w:rPr>
                <w:rFonts w:asciiTheme="minorHAnsi" w:hAnsiTheme="minorHAnsi"/>
              </w:rPr>
              <w:t>aumentare la soddisfazione dei clienti</w:t>
            </w:r>
          </w:p>
          <w:p w:rsidR="00906540" w:rsidRPr="002C5703" w:rsidRDefault="00906540" w:rsidP="002C570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proofErr w:type="spellStart"/>
            <w:r w:rsidRPr="002C5703">
              <w:rPr>
                <w:rFonts w:asciiTheme="minorHAnsi" w:hAnsiTheme="minorHAnsi"/>
              </w:rPr>
              <w:t>controllare</w:t>
            </w:r>
            <w:proofErr w:type="spellEnd"/>
            <w:r w:rsidRPr="002C5703">
              <w:t xml:space="preserve"> </w:t>
            </w:r>
            <w:proofErr w:type="spellStart"/>
            <w:r w:rsidRPr="002C5703">
              <w:t>il</w:t>
            </w:r>
            <w:proofErr w:type="spellEnd"/>
            <w:r w:rsidRPr="002C5703">
              <w:t xml:space="preserve"> </w:t>
            </w:r>
            <w:proofErr w:type="spellStart"/>
            <w:r w:rsidRPr="002C5703">
              <w:t>processo</w:t>
            </w:r>
            <w:proofErr w:type="spellEnd"/>
            <w:r w:rsidRPr="002C5703">
              <w:t xml:space="preserve"> </w:t>
            </w:r>
            <w:proofErr w:type="spellStart"/>
            <w:r w:rsidRPr="002C5703">
              <w:t>produttivo</w:t>
            </w:r>
            <w:proofErr w:type="spellEnd"/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8D3B03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1C3AE2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Was sind die wichtigsten Faktoren, an denen man ein gutes Feedback erkennen kann?</w:t>
            </w:r>
          </w:p>
          <w:p w:rsidR="00906540" w:rsidRPr="00C06488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der Feedback-Nehmer hat etwas gelernt und es geht ihm nicht schlechter als vor dem Feedback</w:t>
            </w:r>
          </w:p>
          <w:p w:rsidR="00906540" w:rsidRPr="001C3AE2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 xml:space="preserve">der Feedback-Geber hat sich durchgesetzt und es geht ihm besser </w:t>
            </w:r>
          </w:p>
          <w:p w:rsidR="00906540" w:rsidRPr="001C3AE2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lastRenderedPageBreak/>
              <w:t>die Kritik wurde nicht aufgenommen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1C3AE2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lastRenderedPageBreak/>
              <w:t>Quali sono i fattori più importanti per poter riconoscere un buon feedback?</w:t>
            </w:r>
          </w:p>
          <w:p w:rsidR="00906540" w:rsidRPr="000A0447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chi riceve il feedback ha imparato qualcosa e non sta peggio di prima di aver ottenuto il feedback</w:t>
            </w:r>
          </w:p>
          <w:p w:rsidR="00906540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chi ha dato il feedback ha dominato e sta meglio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lastRenderedPageBreak/>
              <w:t>la critica non è stata percepita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616C94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 xml:space="preserve">Was trifft auf die in Art. 14 des LG Nr. 17/1993 vorgesehene Mitteilung über die Einleitung des Verfahrens zu? 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 xml:space="preserve">Die Mitteilung muss nur übermittelt werden, wenn die abschließende Maßnahme negative Wirkungen für </w:t>
            </w:r>
            <w:r>
              <w:rPr>
                <w:rFonts w:asciiTheme="minorHAnsi" w:hAnsiTheme="minorHAnsi"/>
              </w:rPr>
              <w:t>den</w:t>
            </w:r>
            <w:r w:rsidRPr="001C3AE2">
              <w:rPr>
                <w:rFonts w:asciiTheme="minorHAnsi" w:hAnsiTheme="minorHAnsi"/>
              </w:rPr>
              <w:t xml:space="preserve"> Betroffenen entfaltet.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Die Mitteilung kann entfallen, wenn das Verfahren voraussichtlich innerhalb von 90 Tagen mit einer endgültigen Maßnahme beendet wird.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 xml:space="preserve">Die Einleitung des Verfahrens wird allen Personen mitgeteilt, gegenüber denen die abschließende Maßnahme direkte Wirkungen erzeugt und allen, die kraft Gesetzes beitreten </w:t>
            </w:r>
            <w:r w:rsidRPr="00112C35">
              <w:rPr>
                <w:rFonts w:asciiTheme="minorHAnsi" w:hAnsiTheme="minorHAnsi"/>
                <w:highlight w:val="yellow"/>
              </w:rPr>
              <w:t>müssen.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616C94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Cosa vale per la comunicazione di avvio del procedimento di cui all’articolo 14 della legge provinciale 17/1993?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comunicazione deve essere trasmessa soltanto nei casi in cui all’interessato possa derivare un pregiudizio dal provvedimento finale.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comunicazione può venir</w:t>
            </w:r>
            <w:r>
              <w:rPr>
                <w:rFonts w:asciiTheme="minorHAnsi" w:hAnsiTheme="minorHAnsi"/>
                <w:lang w:val="it-IT"/>
              </w:rPr>
              <w:t>e</w:t>
            </w:r>
            <w:r w:rsidRPr="000A0447">
              <w:rPr>
                <w:rFonts w:asciiTheme="minorHAnsi" w:hAnsiTheme="minorHAnsi"/>
                <w:lang w:val="it-IT"/>
              </w:rPr>
              <w:t xml:space="preserve"> meno, se il procedimento si conclude presumibilmente entro 90 giorni con un provvedimento definitivo.</w:t>
            </w:r>
          </w:p>
          <w:p w:rsidR="00906540" w:rsidRPr="000A0447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L’avvio del procedimento amministrativo è comunicato ai soggetti nei confronti dei quali il provvedimento finale è destinato a produrre effetti diretti e a quelli che per legge devono intervenirvi. 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616C94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Was trifft auf die Wahl der Gemeinderäte zu?</w:t>
            </w:r>
          </w:p>
          <w:p w:rsidR="00906540" w:rsidRPr="001C3AE2" w:rsidRDefault="00906540" w:rsidP="00616C94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Theme="minorHAnsi" w:eastAsia="Times New Roman" w:hAnsiTheme="minorHAnsi"/>
              </w:rPr>
            </w:pPr>
            <w:r w:rsidRPr="001C3AE2">
              <w:rPr>
                <w:rFonts w:asciiTheme="minorHAnsi" w:eastAsia="Times New Roman" w:hAnsiTheme="minorHAnsi"/>
              </w:rPr>
              <w:t>Ihre Amtszeit wird von jeder Gemeinde in der eigenen Satzung festgelegt.</w:t>
            </w:r>
          </w:p>
          <w:p w:rsidR="00906540" w:rsidRPr="001C3AE2" w:rsidRDefault="00906540" w:rsidP="00616C94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Theme="minorHAnsi" w:eastAsia="Times New Roman" w:hAnsiTheme="minorHAnsi"/>
              </w:rPr>
            </w:pPr>
            <w:r w:rsidRPr="001C3AE2">
              <w:rPr>
                <w:rFonts w:asciiTheme="minorHAnsi" w:eastAsia="Times New Roman" w:hAnsiTheme="minorHAnsi"/>
              </w:rPr>
              <w:t>Ihre Amtszeit ist an die Legislaturperiode des Landtages gekoppelt.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eastAsia="Times New Roman" w:hAnsiTheme="minorHAnsi"/>
              </w:rPr>
              <w:t xml:space="preserve"> </w:t>
            </w:r>
            <w:r w:rsidRPr="00C06488">
              <w:rPr>
                <w:rFonts w:asciiTheme="minorHAnsi" w:eastAsia="Times New Roman" w:hAnsiTheme="minorHAnsi"/>
                <w:highlight w:val="yellow"/>
              </w:rPr>
              <w:t>Ihre Amtszeit beträgt fünf Jahre</w:t>
            </w:r>
            <w:r w:rsidRPr="008D3B03">
              <w:rPr>
                <w:rFonts w:asciiTheme="minorHAnsi" w:eastAsia="Times New Roman" w:hAnsiTheme="minorHAnsi"/>
                <w:highlight w:val="green"/>
              </w:rPr>
              <w:t>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616C94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Cosa vale per l’elezione dei consiglieri comunali?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loro durata in carica viene stabilita da ogni comune nel rispettivo statuto.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loro durata in carica è abbinata al periodo di legislatura del Consiglio Provinciale.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loro</w:t>
            </w:r>
            <w:r w:rsidRPr="00112C35">
              <w:rPr>
                <w:rFonts w:asciiTheme="minorHAnsi" w:hAnsiTheme="minorHAnsi"/>
                <w:lang w:val="it-IT"/>
              </w:rPr>
              <w:t xml:space="preserve"> durata in carica è di 5 anni.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616C94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Was trifft auf die Wahl des Bürgermeisters zu?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Er wird alle vier Jahre neu gewählt.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Die Wahl des Bürgermeisters wird jedes Mal vorgenommen, wenn der Gemeinderat neu bestellt werden muss.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Er wird alle fünf Jahre vom Gemeinderat neu gewählt.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616C94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Cosa vale per l‘elezione del sindaco?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Si procede all’elezione del sindaco ogni 4 anni</w:t>
            </w:r>
          </w:p>
          <w:p w:rsidR="00906540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Si procede all’elezione del sindaco ogni volta che si deve provvedere al rinnovo del consiglio comunale.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Il consiglio comunale procede all’elezione del sindaco ogni 5 anni.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D223A7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Was trifft auf die zertifizierte Meldung des Tätigkeitsbeginns gemäß Artikel 21/bis des LG Nr. 17/1993 zu:</w:t>
            </w:r>
          </w:p>
          <w:p w:rsidR="00906540" w:rsidRPr="00C06488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die Tätigkeit kann ab dem Datum aufgenommen werden, an dem die Meldung bei der zuständigen Verwaltung eingereicht wird.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die Tätigkeit kann 30 Tage nachdem die Meldung bei der zuständigen Verwaltung eingereicht wurde, aufgenommen werden.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die Tätigkeit kann nach Ablauf der sechzigtägigen Frist aufgenommen werden, innerhalb derer die Verwaltung die zertifizierte Meldung zu prüfen hat.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C60EFE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Cosa vale per la segnalazione certificata di inizio attività di cui all’articolo 21/bis della legge provinciale 17/1993?</w:t>
            </w:r>
          </w:p>
          <w:p w:rsidR="00906540" w:rsidRPr="00FE727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FE7277">
              <w:rPr>
                <w:rFonts w:asciiTheme="minorHAnsi" w:hAnsiTheme="minorHAnsi"/>
                <w:lang w:val="it-IT"/>
              </w:rPr>
              <w:t>L’attività può essere iniziata dalla data della presentazione della segnalazione all’amministrazione competente.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L’attività può essere iniziata trenta giorni dopo la presentazione della segnalazione all’amministrazione competente.</w:t>
            </w:r>
          </w:p>
          <w:p w:rsidR="00906540" w:rsidRPr="000A0447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L’attività può essere iniziata decorso il termine di 60 giorni, entro il quale l’amministrazione verifica la segnalazione certificata.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1C3AE2" w:rsidRDefault="00906540" w:rsidP="009630EF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Welche Aufgaben gehören zu</w:t>
            </w:r>
            <w:r>
              <w:rPr>
                <w:rFonts w:asciiTheme="minorHAnsi" w:hAnsiTheme="minorHAnsi"/>
                <w:b/>
              </w:rPr>
              <w:t>m Berufsbild des</w:t>
            </w:r>
            <w:r w:rsidRPr="001C3AE2">
              <w:rPr>
                <w:rFonts w:asciiTheme="minorHAnsi" w:hAnsiTheme="minorHAnsi"/>
                <w:b/>
              </w:rPr>
              <w:t xml:space="preserve"> Gemeindesekretärs?</w:t>
            </w:r>
          </w:p>
          <w:p w:rsidR="00906540" w:rsidRPr="001C3AE2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Strategische Entscheidungen und Definition der Pläne</w:t>
            </w:r>
          </w:p>
          <w:p w:rsidR="00906540" w:rsidRPr="00C06488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Umsetzung strategischer Entscheidungen</w:t>
            </w:r>
          </w:p>
          <w:p w:rsidR="00906540" w:rsidRPr="001C3AE2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Nur operative Entscheidungen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540" w:rsidRPr="000A0447" w:rsidRDefault="00906540" w:rsidP="009630EF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Quali mansioni appartengono al profilo professionale del segretario comunale?</w:t>
            </w:r>
          </w:p>
          <w:p w:rsidR="00906540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Decisioni strategiche e definizione dei piani</w:t>
            </w:r>
          </w:p>
          <w:p w:rsidR="00906540" w:rsidRPr="000A0447" w:rsidRDefault="00906540" w:rsidP="00112C35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9630E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Implementazione di decisioni strategiche</w:t>
            </w:r>
          </w:p>
          <w:p w:rsidR="00906540" w:rsidRPr="000A0447" w:rsidRDefault="00906540" w:rsidP="001C3AE2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Solamente decisioni operative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Welche der folgenden Befugnisse stehen dem Gemeindeausschuss zu?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lastRenderedPageBreak/>
              <w:t>aufgrund des vom Gemeinderat genehmigten programmatischen Dokuments die politisch-administrativen Zielsetzungen zu bestimmen.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den Haushaltsvoranschlag der Gemeinde zu beschließen.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Verordnungen auf dem Gebiet der Verwaltung der Lokalfinanzen im Hinblick auf deren konkrete Verwendung für örtliche Projekte zu erlassen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lastRenderedPageBreak/>
              <w:t>Quale delle seguenti rientra fra le attribuzioni della Giunta comunale?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lastRenderedPageBreak/>
              <w:t xml:space="preserve"> </w:t>
            </w:r>
            <w:r w:rsidRPr="000A0447">
              <w:rPr>
                <w:rFonts w:asciiTheme="minorHAnsi" w:hAnsiTheme="minorHAnsi"/>
                <w:lang w:val="it-IT"/>
              </w:rPr>
              <w:t>determinare gli obiettivi politici amministrativi in base al documento programmatico approvato dal consiglio comunale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approvare il bilancio preventivo del comune</w:t>
            </w:r>
          </w:p>
          <w:p w:rsidR="00906540" w:rsidRPr="000A0447" w:rsidRDefault="00906540" w:rsidP="00C60EFE">
            <w:pPr>
              <w:pStyle w:val="Listenabsatz"/>
              <w:ind w:left="360"/>
              <w:rPr>
                <w:rFonts w:asciiTheme="minorHAnsi" w:hAnsiTheme="minorHAnsi"/>
                <w:lang w:val="it-IT"/>
              </w:rPr>
            </w:pP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emanare regolamenti nell’ambito dell’amministrazione delle finanze locali con riguardo al loro impiego per progetti locali</w:t>
            </w:r>
          </w:p>
        </w:tc>
      </w:tr>
      <w:tr w:rsidR="00906540" w:rsidRPr="001C3AE2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Welche dieser Gesellschaftsformen ge</w:t>
            </w:r>
            <w:r w:rsidRPr="001C3AE2">
              <w:rPr>
                <w:rFonts w:asciiTheme="minorHAnsi" w:hAnsiTheme="minorHAnsi"/>
                <w:b/>
              </w:rPr>
              <w:softHyphen/>
              <w:t>hören nicht zu den Personen</w:t>
            </w:r>
            <w:r w:rsidRPr="001C3AE2">
              <w:rPr>
                <w:rFonts w:asciiTheme="minorHAnsi" w:hAnsiTheme="minorHAnsi"/>
                <w:b/>
              </w:rPr>
              <w:softHyphen/>
              <w:t>gesellschaften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Offene Handelsgesellschaft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Kommanditgesellschaft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Gesellschaft mit beschränkter Haftung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Quale di queste forme societarie non è una società di persone?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società in nome collettivo 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società in accomandita semplice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società a responsabilità limitata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Welche Gemeinden können laut Kodex der örtlichen Körperschaften der Region Trentino-Südtirol Führungskräfte einstellen?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alle Gemeinden.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Gemeinden mit mehr als 30.000 Einwohnern.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Gemeinden mit mehr als 10.000 Einwohnern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Ai sensi del codice degli enti locali della Regione Trentino-Alto Adige quali comuni possono dotarsi di figure dirigenziali?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Tutti i comuni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Comuni con più di 30.000 abitanti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112C35">
              <w:rPr>
                <w:rFonts w:asciiTheme="minorHAnsi" w:hAnsiTheme="minorHAnsi"/>
                <w:lang w:val="it-IT"/>
              </w:rPr>
              <w:t>Comuni con più di 10.000 abitanti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Welche Haftungsgrundsätze gelten für die eine offene Handelsgesellschaft?</w:t>
            </w:r>
          </w:p>
          <w:p w:rsidR="00906540" w:rsidRPr="00C06488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alle Gesellschafter haften persönlich</w:t>
            </w:r>
          </w:p>
          <w:p w:rsidR="00906540" w:rsidRPr="001C3AE2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zur Tilgung von Schulden kann lediglich das Gesellschaftsvermögen herangezogen wer</w:t>
            </w:r>
            <w:r w:rsidRPr="001C3AE2">
              <w:rPr>
                <w:rFonts w:asciiTheme="minorHAnsi" w:hAnsiTheme="minorHAnsi"/>
              </w:rPr>
              <w:softHyphen/>
              <w:t>den</w:t>
            </w:r>
          </w:p>
          <w:p w:rsidR="00906540" w:rsidRPr="001C3AE2" w:rsidRDefault="00906540" w:rsidP="002F18B4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nur jene Gesellschafter haften persönlich, die im Namen der Gesellschaft tätig werden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Quali principi valgono per la responsabilità nella società in nome collettivo?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tutti i soci rispondono personalmente 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per il pagamento dei debiti si può escutere solo il patrimonio della società</w:t>
            </w:r>
          </w:p>
          <w:p w:rsidR="00906540" w:rsidRPr="000A0447" w:rsidRDefault="00906540" w:rsidP="00FC58A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solo i soci che agiscono in nome della società rispondono personalmente</w:t>
            </w:r>
          </w:p>
        </w:tc>
      </w:tr>
      <w:tr w:rsidR="00906540" w:rsidRPr="001454F1" w:rsidTr="00FE7277">
        <w:trPr>
          <w:trHeight w:val="17"/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Welche Tätigkeit fällt laut Kodex der örtlichen Körperschaften der Region Trentino-Südtirol nicht in den Aufgabenbereich eines Gemeindesekretärs?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Oberaufsicht über die Durchführung der Aufgaben der Führungskräfte.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Unterzeichnung der Beschlüsse des Gemeinderats und des Gemeindeausschusses.</w:t>
            </w:r>
          </w:p>
          <w:p w:rsidR="00906540" w:rsidRPr="001C3AE2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06488">
              <w:rPr>
                <w:rFonts w:asciiTheme="minorHAnsi" w:hAnsiTheme="minorHAnsi"/>
                <w:highlight w:val="yellow"/>
              </w:rPr>
              <w:t>Erlass außerordentlicher und dringender Maßnahmen auf dem Gebiet der öffentlichen Gesundheit und Hygien</w:t>
            </w:r>
            <w:r w:rsidRPr="00112C35">
              <w:rPr>
                <w:rFonts w:asciiTheme="minorHAnsi" w:hAnsiTheme="minorHAnsi"/>
                <w:highlight w:val="yellow"/>
              </w:rPr>
              <w:t>e.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Ai sensi del codice degli enti locali della Regione Trentino-Alto Adige quali attività non rientrano nelle mansioni del segretario comunale?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Sovrintendenza allo svolgimento delle funzioni dei dirigenti 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La firma delle delibere del consiglio comunale e della giunta comunale</w:t>
            </w:r>
          </w:p>
          <w:p w:rsidR="00906540" w:rsidRPr="000A0447" w:rsidRDefault="00906540" w:rsidP="00C60EF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 xml:space="preserve">L’adozione di provvedimenti contingibili e urgenti in </w:t>
            </w:r>
            <w:r w:rsidRPr="00112C35">
              <w:rPr>
                <w:rFonts w:asciiTheme="minorHAnsi" w:hAnsiTheme="minorHAnsi"/>
                <w:lang w:val="it-IT"/>
              </w:rPr>
              <w:t>materia di sanità e igiene</w:t>
            </w:r>
          </w:p>
        </w:tc>
      </w:tr>
      <w:tr w:rsidR="00906540" w:rsidRPr="001454F1" w:rsidTr="00FE7277">
        <w:trPr>
          <w:jc w:val="center"/>
        </w:trPr>
        <w:tc>
          <w:tcPr>
            <w:tcW w:w="843" w:type="dxa"/>
            <w:shd w:val="clear" w:color="auto" w:fill="auto"/>
          </w:tcPr>
          <w:p w:rsidR="00906540" w:rsidRPr="001C3AE2" w:rsidRDefault="00906540" w:rsidP="002F18B4">
            <w:pPr>
              <w:pStyle w:val="Listenabsatz"/>
              <w:numPr>
                <w:ilvl w:val="0"/>
                <w:numId w:val="24"/>
              </w:numP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4805" w:type="dxa"/>
            <w:shd w:val="clear" w:color="auto" w:fill="auto"/>
          </w:tcPr>
          <w:p w:rsidR="00906540" w:rsidRPr="001C3AE2" w:rsidRDefault="00906540" w:rsidP="00832E16">
            <w:pPr>
              <w:spacing w:after="120"/>
              <w:rPr>
                <w:rFonts w:asciiTheme="minorHAnsi" w:hAnsiTheme="minorHAnsi"/>
                <w:b/>
              </w:rPr>
            </w:pPr>
            <w:r w:rsidRPr="001C3AE2">
              <w:rPr>
                <w:rFonts w:asciiTheme="minorHAnsi" w:hAnsiTheme="minorHAnsi"/>
                <w:b/>
              </w:rPr>
              <w:t>Wer verwaltet die Gemeinde bei Rücktritt des Bürgermeisters bis zu den Neu</w:t>
            </w:r>
            <w:r w:rsidRPr="001C3AE2">
              <w:rPr>
                <w:rFonts w:asciiTheme="minorHAnsi" w:hAnsiTheme="minorHAnsi"/>
                <w:b/>
              </w:rPr>
              <w:softHyphen/>
              <w:t>wahlen?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es wird ein Kommissär eingesetzt</w:t>
            </w:r>
          </w:p>
          <w:p w:rsidR="00906540" w:rsidRPr="00C06488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highlight w:val="yellow"/>
              </w:rPr>
            </w:pPr>
            <w:r w:rsidRPr="00C06488">
              <w:rPr>
                <w:rFonts w:asciiTheme="minorHAnsi" w:hAnsiTheme="minorHAnsi"/>
                <w:highlight w:val="yellow"/>
              </w:rPr>
              <w:t>der Vizebürgermeister führt die Amtsgeschäfte fort</w:t>
            </w:r>
          </w:p>
          <w:p w:rsidR="00906540" w:rsidRPr="001C3AE2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3AE2">
              <w:rPr>
                <w:rFonts w:asciiTheme="minorHAnsi" w:hAnsiTheme="minorHAnsi"/>
              </w:rPr>
              <w:t>der Gemeinderat wählt einen amtsführenden Bürgermeister</w:t>
            </w:r>
          </w:p>
        </w:tc>
        <w:tc>
          <w:tcPr>
            <w:tcW w:w="4796" w:type="dxa"/>
            <w:shd w:val="clear" w:color="auto" w:fill="auto"/>
          </w:tcPr>
          <w:p w:rsidR="00906540" w:rsidRPr="000A0447" w:rsidRDefault="00906540" w:rsidP="00832E16">
            <w:pPr>
              <w:spacing w:after="120"/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b/>
                <w:lang w:val="it-IT"/>
              </w:rPr>
              <w:t>Chi amministra il comune fino a nuove elezioni in caso di dimissioni del Sindaco?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viene nominato un commissario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il vicesindaco assume la gestione</w:t>
            </w:r>
          </w:p>
          <w:p w:rsidR="00906540" w:rsidRPr="000A0447" w:rsidRDefault="00906540" w:rsidP="00CB7E2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/>
                <w:b/>
                <w:lang w:val="it-IT"/>
              </w:rPr>
            </w:pPr>
            <w:r w:rsidRPr="000A0447">
              <w:rPr>
                <w:rFonts w:asciiTheme="minorHAnsi" w:hAnsiTheme="minorHAnsi"/>
                <w:lang w:val="it-IT"/>
              </w:rPr>
              <w:t>il consiglio comunale elegge un Sindaco reggente</w:t>
            </w:r>
          </w:p>
        </w:tc>
      </w:tr>
    </w:tbl>
    <w:p w:rsidR="00F274A3" w:rsidRPr="008C7291" w:rsidRDefault="00F274A3" w:rsidP="00876149">
      <w:pPr>
        <w:rPr>
          <w:lang w:val="it-IT"/>
        </w:rPr>
      </w:pPr>
    </w:p>
    <w:sectPr w:rsidR="00F274A3" w:rsidRPr="008C7291" w:rsidSect="00FA6D24">
      <w:headerReference w:type="default" r:id="rId10"/>
      <w:footerReference w:type="default" r:id="rId11"/>
      <w:pgSz w:w="11906" w:h="16838"/>
      <w:pgMar w:top="284" w:right="720" w:bottom="720" w:left="720" w:header="2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31" w:rsidRDefault="00A16131" w:rsidP="00A16131">
      <w:pPr>
        <w:spacing w:after="0" w:line="240" w:lineRule="auto"/>
      </w:pPr>
      <w:r>
        <w:separator/>
      </w:r>
    </w:p>
  </w:endnote>
  <w:endnote w:type="continuationSeparator" w:id="0">
    <w:p w:rsidR="00A16131" w:rsidRDefault="00A16131" w:rsidP="00A1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255815"/>
      <w:docPartObj>
        <w:docPartGallery w:val="Page Numbers (Bottom of Page)"/>
        <w:docPartUnique/>
      </w:docPartObj>
    </w:sdtPr>
    <w:sdtEndPr/>
    <w:sdtContent>
      <w:p w:rsidR="008E2593" w:rsidRDefault="008E259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2593" w:rsidRDefault="008E25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31" w:rsidRDefault="00A16131" w:rsidP="00A16131">
      <w:pPr>
        <w:spacing w:after="0" w:line="240" w:lineRule="auto"/>
      </w:pPr>
      <w:r>
        <w:separator/>
      </w:r>
    </w:p>
  </w:footnote>
  <w:footnote w:type="continuationSeparator" w:id="0">
    <w:p w:rsidR="00A16131" w:rsidRDefault="00A16131" w:rsidP="00A1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4536"/>
    </w:tblGrid>
    <w:tr w:rsidR="00FA6D24" w:rsidRPr="001454F1" w:rsidTr="00FA6D24">
      <w:trPr>
        <w:cantSplit/>
        <w:trHeight w:hRule="exact" w:val="460"/>
        <w:jc w:val="center"/>
      </w:trPr>
      <w:tc>
        <w:tcPr>
          <w:tcW w:w="5245" w:type="dxa"/>
        </w:tcPr>
        <w:p w:rsidR="00FA6D24" w:rsidRDefault="00FA6D24" w:rsidP="00FA6D24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FA6D24" w:rsidRDefault="00FA6D24" w:rsidP="00FA6D24">
          <w:pPr>
            <w:jc w:val="center"/>
            <w:rPr>
              <w:sz w:val="15"/>
            </w:rPr>
          </w:pPr>
          <w:r>
            <w:rPr>
              <w:noProof/>
              <w:lang w:eastAsia="de-DE"/>
            </w:rPr>
            <w:drawing>
              <wp:inline distT="0" distB="0" distL="0" distR="0" wp14:anchorId="2729ACC7" wp14:editId="04D622BE">
                <wp:extent cx="285115" cy="365760"/>
                <wp:effectExtent l="0" t="0" r="0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1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FA6D24" w:rsidRPr="002E4E74" w:rsidRDefault="00FA6D24" w:rsidP="00FA6D24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2E4E74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FA6D24" w:rsidRPr="001454F1" w:rsidTr="002A0059">
      <w:trPr>
        <w:cantSplit/>
        <w:trHeight w:val="96"/>
        <w:jc w:val="center"/>
      </w:trPr>
      <w:tc>
        <w:tcPr>
          <w:tcW w:w="5245" w:type="dxa"/>
          <w:tcBorders>
            <w:top w:val="single" w:sz="2" w:space="0" w:color="auto"/>
          </w:tcBorders>
        </w:tcPr>
        <w:p w:rsidR="00FA6D24" w:rsidRPr="002E4E74" w:rsidRDefault="00FA6D24" w:rsidP="002A0059">
          <w:pPr>
            <w:spacing w:before="80" w:after="100" w:afterAutospacing="1" w:line="240" w:lineRule="auto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FA6D24" w:rsidRPr="002E4E74" w:rsidRDefault="00FA6D24" w:rsidP="002A0059">
          <w:pPr>
            <w:spacing w:after="100" w:afterAutospacing="1" w:line="240" w:lineRule="auto"/>
            <w:jc w:val="center"/>
            <w:rPr>
              <w:sz w:val="16"/>
              <w:lang w:val="it-IT"/>
            </w:rPr>
          </w:pPr>
        </w:p>
      </w:tc>
      <w:tc>
        <w:tcPr>
          <w:tcW w:w="4536" w:type="dxa"/>
          <w:tcBorders>
            <w:top w:val="single" w:sz="2" w:space="0" w:color="auto"/>
          </w:tcBorders>
        </w:tcPr>
        <w:p w:rsidR="00FA6D24" w:rsidRPr="00FA6D24" w:rsidRDefault="00FA6D24" w:rsidP="002A0059">
          <w:pPr>
            <w:spacing w:before="80" w:after="100" w:afterAutospacing="1" w:line="240" w:lineRule="auto"/>
            <w:ind w:right="856"/>
            <w:jc w:val="right"/>
            <w:rPr>
              <w:sz w:val="16"/>
              <w:lang w:val="it-IT"/>
            </w:rPr>
          </w:pPr>
        </w:p>
      </w:tc>
    </w:tr>
  </w:tbl>
  <w:p w:rsidR="00A16131" w:rsidRPr="00FA6D24" w:rsidRDefault="00A16131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077"/>
    <w:multiLevelType w:val="hybridMultilevel"/>
    <w:tmpl w:val="6AA6ED1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51A5D"/>
    <w:multiLevelType w:val="hybridMultilevel"/>
    <w:tmpl w:val="5BC620F8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F6685"/>
    <w:multiLevelType w:val="hybridMultilevel"/>
    <w:tmpl w:val="A17826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D6B4B"/>
    <w:multiLevelType w:val="hybridMultilevel"/>
    <w:tmpl w:val="DF16F4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C7F33"/>
    <w:multiLevelType w:val="hybridMultilevel"/>
    <w:tmpl w:val="700C076A"/>
    <w:lvl w:ilvl="0" w:tplc="494C5F06">
      <w:start w:val="1"/>
      <w:numFmt w:val="bullet"/>
      <w:pStyle w:val="Antwortenit"/>
      <w:lvlText w:val="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  <w:outline w:val="0"/>
        <w:shadow w:val="0"/>
        <w:emboss w:val="0"/>
        <w:imprint/>
        <w:sz w:val="20"/>
        <w:szCs w:val="20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outline w:val="0"/>
        <w:shadow w:val="0"/>
        <w:emboss w:val="0"/>
        <w:imprint/>
      </w:rPr>
    </w:lvl>
    <w:lvl w:ilvl="2" w:tplc="B7941D6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5ED4"/>
    <w:multiLevelType w:val="hybridMultilevel"/>
    <w:tmpl w:val="D79C225E"/>
    <w:lvl w:ilvl="0" w:tplc="C5AE54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455E"/>
    <w:multiLevelType w:val="hybridMultilevel"/>
    <w:tmpl w:val="23524BE2"/>
    <w:lvl w:ilvl="0" w:tplc="EB3267F2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A421944"/>
    <w:multiLevelType w:val="hybridMultilevel"/>
    <w:tmpl w:val="F57AC986"/>
    <w:lvl w:ilvl="0" w:tplc="31D4F092">
      <w:start w:val="1"/>
      <w:numFmt w:val="bullet"/>
      <w:lvlText w:val=""/>
      <w:lvlJc w:val="left"/>
      <w:pPr>
        <w:ind w:left="360" w:hanging="360"/>
      </w:pPr>
      <w:rPr>
        <w:rFonts w:ascii="Viner Hand ITC" w:hAnsi="Viner Hand ITC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56B25"/>
    <w:multiLevelType w:val="hybridMultilevel"/>
    <w:tmpl w:val="F94C7E22"/>
    <w:lvl w:ilvl="0" w:tplc="8F60C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50465"/>
    <w:multiLevelType w:val="hybridMultilevel"/>
    <w:tmpl w:val="D79C225E"/>
    <w:lvl w:ilvl="0" w:tplc="C5AE54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6164B"/>
    <w:multiLevelType w:val="hybridMultilevel"/>
    <w:tmpl w:val="798A15C0"/>
    <w:lvl w:ilvl="0" w:tplc="EDA42BA4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B120347"/>
    <w:multiLevelType w:val="hybridMultilevel"/>
    <w:tmpl w:val="FBBAA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6329"/>
    <w:multiLevelType w:val="hybridMultilevel"/>
    <w:tmpl w:val="AB2671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666B"/>
    <w:multiLevelType w:val="hybridMultilevel"/>
    <w:tmpl w:val="36B62D6A"/>
    <w:lvl w:ilvl="0" w:tplc="FAA896EA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42B727CB"/>
    <w:multiLevelType w:val="hybridMultilevel"/>
    <w:tmpl w:val="2A6CD6EA"/>
    <w:lvl w:ilvl="0" w:tplc="4C6634FC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475F40F6"/>
    <w:multiLevelType w:val="hybridMultilevel"/>
    <w:tmpl w:val="63B48CAC"/>
    <w:lvl w:ilvl="0" w:tplc="C5AE54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637"/>
    <w:multiLevelType w:val="hybridMultilevel"/>
    <w:tmpl w:val="E6DE7DE2"/>
    <w:lvl w:ilvl="0" w:tplc="189A4E8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52CB0211"/>
    <w:multiLevelType w:val="hybridMultilevel"/>
    <w:tmpl w:val="E612DCDE"/>
    <w:lvl w:ilvl="0" w:tplc="31D4F092">
      <w:start w:val="1"/>
      <w:numFmt w:val="bullet"/>
      <w:lvlText w:val=""/>
      <w:lvlJc w:val="left"/>
      <w:pPr>
        <w:ind w:left="360" w:hanging="360"/>
      </w:pPr>
      <w:rPr>
        <w:rFonts w:ascii="Viner Hand ITC" w:hAnsi="Viner Hand ITC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4311EE"/>
    <w:multiLevelType w:val="hybridMultilevel"/>
    <w:tmpl w:val="5644C9D0"/>
    <w:lvl w:ilvl="0" w:tplc="C5AE54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A0782"/>
    <w:multiLevelType w:val="hybridMultilevel"/>
    <w:tmpl w:val="0486D064"/>
    <w:lvl w:ilvl="0" w:tplc="2FF06D8C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6DC97D8A"/>
    <w:multiLevelType w:val="hybridMultilevel"/>
    <w:tmpl w:val="C9E04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47A08"/>
    <w:multiLevelType w:val="hybridMultilevel"/>
    <w:tmpl w:val="995625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723DBA"/>
    <w:multiLevelType w:val="hybridMultilevel"/>
    <w:tmpl w:val="6D6E92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7"/>
  </w:num>
  <w:num w:numId="5">
    <w:abstractNumId w:val="21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  <w:num w:numId="15">
    <w:abstractNumId w:val="22"/>
  </w:num>
  <w:num w:numId="16">
    <w:abstractNumId w:val="1"/>
  </w:num>
  <w:num w:numId="17">
    <w:abstractNumId w:val="12"/>
  </w:num>
  <w:num w:numId="18">
    <w:abstractNumId w:val="20"/>
  </w:num>
  <w:num w:numId="19">
    <w:abstractNumId w:val="3"/>
  </w:num>
  <w:num w:numId="20">
    <w:abstractNumId w:val="16"/>
  </w:num>
  <w:num w:numId="21">
    <w:abstractNumId w:val="13"/>
  </w:num>
  <w:num w:numId="22">
    <w:abstractNumId w:val="19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31"/>
    <w:rsid w:val="00082974"/>
    <w:rsid w:val="000A0447"/>
    <w:rsid w:val="000D548D"/>
    <w:rsid w:val="00112C35"/>
    <w:rsid w:val="00114B6A"/>
    <w:rsid w:val="001454F1"/>
    <w:rsid w:val="0019340D"/>
    <w:rsid w:val="001B249B"/>
    <w:rsid w:val="001C3AE2"/>
    <w:rsid w:val="0020734D"/>
    <w:rsid w:val="0029652E"/>
    <w:rsid w:val="002A0059"/>
    <w:rsid w:val="002C5703"/>
    <w:rsid w:val="002F18B4"/>
    <w:rsid w:val="003A726B"/>
    <w:rsid w:val="003C5733"/>
    <w:rsid w:val="003D5E58"/>
    <w:rsid w:val="0041627A"/>
    <w:rsid w:val="0043245A"/>
    <w:rsid w:val="00487DE0"/>
    <w:rsid w:val="004B283F"/>
    <w:rsid w:val="005140BD"/>
    <w:rsid w:val="00535CF7"/>
    <w:rsid w:val="005E27DD"/>
    <w:rsid w:val="00616C94"/>
    <w:rsid w:val="006C5D72"/>
    <w:rsid w:val="006E1B66"/>
    <w:rsid w:val="006E1FF0"/>
    <w:rsid w:val="00751B71"/>
    <w:rsid w:val="00832E16"/>
    <w:rsid w:val="00876149"/>
    <w:rsid w:val="008C7291"/>
    <w:rsid w:val="008D3B03"/>
    <w:rsid w:val="008E2593"/>
    <w:rsid w:val="008F4F9E"/>
    <w:rsid w:val="00906540"/>
    <w:rsid w:val="009630EF"/>
    <w:rsid w:val="00986A4B"/>
    <w:rsid w:val="009A38C7"/>
    <w:rsid w:val="00A045FA"/>
    <w:rsid w:val="00A16131"/>
    <w:rsid w:val="00AA54E3"/>
    <w:rsid w:val="00AB68C5"/>
    <w:rsid w:val="00B1163C"/>
    <w:rsid w:val="00B5260F"/>
    <w:rsid w:val="00B56E4F"/>
    <w:rsid w:val="00B96910"/>
    <w:rsid w:val="00C06488"/>
    <w:rsid w:val="00C258EF"/>
    <w:rsid w:val="00C60EFE"/>
    <w:rsid w:val="00C93EC0"/>
    <w:rsid w:val="00CB7E2E"/>
    <w:rsid w:val="00D223A7"/>
    <w:rsid w:val="00DF5F67"/>
    <w:rsid w:val="00DF76AB"/>
    <w:rsid w:val="00E34F44"/>
    <w:rsid w:val="00E91953"/>
    <w:rsid w:val="00EB0FB5"/>
    <w:rsid w:val="00EC13AA"/>
    <w:rsid w:val="00F274A3"/>
    <w:rsid w:val="00F90720"/>
    <w:rsid w:val="00FA6D24"/>
    <w:rsid w:val="00FC58A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5FB143"/>
  <w15:chartTrackingRefBased/>
  <w15:docId w15:val="{CFB4C89B-E757-4F2C-A0E3-C3ACF559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1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16131"/>
  </w:style>
  <w:style w:type="paragraph" w:styleId="Fuzeile">
    <w:name w:val="footer"/>
    <w:basedOn w:val="Standard"/>
    <w:link w:val="FuzeileZchn"/>
    <w:uiPriority w:val="99"/>
    <w:unhideWhenUsed/>
    <w:rsid w:val="00A1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6131"/>
  </w:style>
  <w:style w:type="table" w:styleId="Tabellenraster">
    <w:name w:val="Table Grid"/>
    <w:basedOn w:val="NormaleTabelle"/>
    <w:uiPriority w:val="39"/>
    <w:rsid w:val="00A1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A6D24"/>
  </w:style>
  <w:style w:type="paragraph" w:customStyle="1" w:styleId="berschriftDT">
    <w:name w:val="Überschrift DT"/>
    <w:basedOn w:val="Standard"/>
    <w:link w:val="berschriftDTZchn"/>
    <w:rsid w:val="00EB0FB5"/>
    <w:pPr>
      <w:spacing w:before="240" w:after="0" w:line="240" w:lineRule="auto"/>
      <w:jc w:val="both"/>
    </w:pPr>
    <w:rPr>
      <w:rFonts w:ascii="Verdana" w:eastAsia="Times New Roman" w:hAnsi="Verdana" w:cs="Arial"/>
      <w:b/>
      <w:bCs/>
      <w:sz w:val="20"/>
      <w:szCs w:val="20"/>
      <w:lang w:eastAsia="it-IT"/>
    </w:rPr>
  </w:style>
  <w:style w:type="paragraph" w:customStyle="1" w:styleId="berschriftIT">
    <w:name w:val="Überschrift IT"/>
    <w:basedOn w:val="Standard"/>
    <w:rsid w:val="00EB0FB5"/>
    <w:pPr>
      <w:spacing w:before="240" w:after="0" w:line="240" w:lineRule="auto"/>
      <w:ind w:left="459"/>
    </w:pPr>
    <w:rPr>
      <w:rFonts w:ascii="Verdana" w:eastAsia="Times New Roman" w:hAnsi="Verdana" w:cs="Arial"/>
      <w:b/>
      <w:bCs/>
      <w:sz w:val="20"/>
      <w:szCs w:val="20"/>
      <w:lang w:val="it-IT" w:eastAsia="it-IT"/>
    </w:rPr>
  </w:style>
  <w:style w:type="character" w:customStyle="1" w:styleId="berschriftDTZchn">
    <w:name w:val="Überschrift DT Zchn"/>
    <w:link w:val="berschriftDT"/>
    <w:rsid w:val="00EB0FB5"/>
    <w:rPr>
      <w:rFonts w:ascii="Verdana" w:eastAsia="Times New Roman" w:hAnsi="Verdana" w:cs="Arial"/>
      <w:b/>
      <w:bCs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EB0FB5"/>
    <w:pPr>
      <w:ind w:left="720"/>
      <w:contextualSpacing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8EF"/>
    <w:rPr>
      <w:rFonts w:ascii="Segoe UI" w:hAnsi="Segoe UI" w:cs="Segoe UI"/>
      <w:sz w:val="18"/>
      <w:szCs w:val="18"/>
    </w:rPr>
  </w:style>
  <w:style w:type="paragraph" w:customStyle="1" w:styleId="Antwortendt">
    <w:name w:val="Antworten dt"/>
    <w:basedOn w:val="Standard"/>
    <w:rsid w:val="00535CF7"/>
    <w:pPr>
      <w:widowControl w:val="0"/>
      <w:suppressLineNumbers/>
      <w:suppressAutoHyphens/>
      <w:spacing w:before="120" w:after="0" w:line="240" w:lineRule="auto"/>
      <w:jc w:val="both"/>
    </w:pPr>
    <w:rPr>
      <w:rFonts w:ascii="Verdana" w:eastAsia="SimSun" w:hAnsi="Verdana" w:cs="Mangal"/>
      <w:kern w:val="1"/>
      <w:sz w:val="20"/>
      <w:szCs w:val="20"/>
      <w:lang w:eastAsia="zh-CN" w:bidi="hi-IN"/>
    </w:rPr>
  </w:style>
  <w:style w:type="paragraph" w:customStyle="1" w:styleId="Antwortenit">
    <w:name w:val="Antworten it"/>
    <w:basedOn w:val="Standard"/>
    <w:rsid w:val="00535CF7"/>
    <w:pPr>
      <w:widowControl w:val="0"/>
      <w:numPr>
        <w:numId w:val="6"/>
      </w:numPr>
      <w:suppressLineNumbers/>
      <w:tabs>
        <w:tab w:val="clear" w:pos="1106"/>
        <w:tab w:val="num" w:pos="822"/>
      </w:tabs>
      <w:suppressAutoHyphens/>
      <w:spacing w:before="120" w:after="0" w:line="240" w:lineRule="auto"/>
      <w:ind w:left="822"/>
    </w:pPr>
    <w:rPr>
      <w:rFonts w:ascii="Verdana" w:eastAsia="SimSun" w:hAnsi="Verdana" w:cs="Mangal"/>
      <w:kern w:val="1"/>
      <w:sz w:val="20"/>
      <w:szCs w:val="20"/>
      <w:lang w:val="it-IT" w:eastAsia="zh-CN" w:bidi="hi-IN"/>
    </w:rPr>
  </w:style>
  <w:style w:type="paragraph" w:customStyle="1" w:styleId="Tabelleninhalt">
    <w:name w:val="Tabelleninhalt"/>
    <w:basedOn w:val="Standard"/>
    <w:rsid w:val="006E1FF0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it-IT" w:eastAsia="zh-CN" w:bidi="hi-IN"/>
    </w:rPr>
  </w:style>
  <w:style w:type="character" w:customStyle="1" w:styleId="tlid-translation">
    <w:name w:val="tlid-translation"/>
    <w:rsid w:val="006E1FF0"/>
  </w:style>
  <w:style w:type="paragraph" w:styleId="StandardWeb">
    <w:name w:val="Normal (Web)"/>
    <w:basedOn w:val="Standard"/>
    <w:uiPriority w:val="99"/>
    <w:rsid w:val="0029652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customStyle="1" w:styleId="st">
    <w:name w:val="st"/>
    <w:rsid w:val="008C7291"/>
  </w:style>
  <w:style w:type="character" w:styleId="Hyperlink">
    <w:name w:val="Hyperlink"/>
    <w:basedOn w:val="Absatz-Standardschriftart"/>
    <w:uiPriority w:val="99"/>
    <w:unhideWhenUsed/>
    <w:rsid w:val="00FC5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Wertsch%C3%B6pfung_%28Wirtschaft%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Steu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A29E-9A3A-4701-8270-C9EDFCEA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708BE894.dotm</Template>
  <TotalTime>0</TotalTime>
  <Pages>6</Pages>
  <Words>2663</Words>
  <Characters>16778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Vicenzi, Grazia</dc:creator>
  <cp:keywords/>
  <dc:description/>
  <cp:lastModifiedBy>Vicenzi, Grazia</cp:lastModifiedBy>
  <cp:revision>3</cp:revision>
  <cp:lastPrinted>2019-11-06T11:42:00Z</cp:lastPrinted>
  <dcterms:created xsi:type="dcterms:W3CDTF">2019-11-22T13:57:00Z</dcterms:created>
  <dcterms:modified xsi:type="dcterms:W3CDTF">2019-11-22T13:58:00Z</dcterms:modified>
</cp:coreProperties>
</file>