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4D9" w:rsidRPr="00475F58" w:rsidRDefault="00D124D9" w:rsidP="00D124D9">
      <w:pPr>
        <w:tabs>
          <w:tab w:val="left" w:pos="1503"/>
        </w:tabs>
        <w:spacing w:after="150"/>
        <w:jc w:val="center"/>
        <w:outlineLvl w:val="1"/>
        <w:rPr>
          <w:rFonts w:ascii="Open Sans" w:hAnsi="Open Sans" w:cs="Arial"/>
          <w:b/>
          <w:color w:val="000000" w:themeColor="text1"/>
          <w:sz w:val="30"/>
          <w:szCs w:val="30"/>
          <w:lang w:val="de-DE" w:eastAsia="de-DE"/>
        </w:rPr>
      </w:pPr>
      <w:r w:rsidRPr="006257DE">
        <w:rPr>
          <w:rFonts w:ascii="Open Sans" w:hAnsi="Open Sans" w:cs="Arial"/>
          <w:b/>
          <w:color w:val="000000" w:themeColor="text1"/>
          <w:sz w:val="30"/>
          <w:szCs w:val="30"/>
          <w:highlight w:val="yellow"/>
          <w:lang w:val="de-DE" w:eastAsia="de-DE"/>
        </w:rPr>
        <w:t>TAG DER OFFENEN TÜR</w:t>
      </w:r>
    </w:p>
    <w:p w:rsidR="00D124D9" w:rsidRPr="00475F58" w:rsidRDefault="00D124D9" w:rsidP="00D124D9">
      <w:pPr>
        <w:tabs>
          <w:tab w:val="left" w:pos="1503"/>
        </w:tabs>
        <w:spacing w:after="150"/>
        <w:jc w:val="center"/>
        <w:outlineLvl w:val="1"/>
        <w:rPr>
          <w:rFonts w:ascii="Open Sans" w:hAnsi="Open Sans" w:cs="Arial"/>
          <w:b/>
          <w:color w:val="000000" w:themeColor="text1"/>
          <w:sz w:val="30"/>
          <w:szCs w:val="30"/>
          <w:lang w:val="de-DE" w:eastAsia="de-DE"/>
        </w:rPr>
      </w:pPr>
      <w:r w:rsidRPr="00475F58">
        <w:rPr>
          <w:rFonts w:ascii="Open Sans" w:hAnsi="Open Sans" w:cs="Arial"/>
          <w:b/>
          <w:color w:val="000000" w:themeColor="text1"/>
          <w:sz w:val="30"/>
          <w:szCs w:val="30"/>
          <w:lang w:val="de-DE" w:eastAsia="de-DE"/>
        </w:rPr>
        <w:t>IN DER ABTEILUNG 41</w:t>
      </w:r>
    </w:p>
    <w:p w:rsidR="00D124D9" w:rsidRPr="00475F58" w:rsidRDefault="00D124D9" w:rsidP="00D124D9">
      <w:pPr>
        <w:tabs>
          <w:tab w:val="left" w:pos="1503"/>
        </w:tabs>
        <w:spacing w:after="150"/>
        <w:jc w:val="center"/>
        <w:outlineLvl w:val="1"/>
        <w:rPr>
          <w:rFonts w:ascii="Open Sans" w:hAnsi="Open Sans" w:cs="Arial"/>
          <w:b/>
          <w:color w:val="000000" w:themeColor="text1"/>
          <w:sz w:val="30"/>
          <w:szCs w:val="30"/>
          <w:lang w:val="de-DE" w:eastAsia="de-DE"/>
        </w:rPr>
      </w:pPr>
      <w:r w:rsidRPr="00475F58">
        <w:rPr>
          <w:rFonts w:ascii="Open Sans" w:hAnsi="Open Sans" w:cs="Arial"/>
          <w:b/>
          <w:color w:val="000000" w:themeColor="text1"/>
          <w:sz w:val="30"/>
          <w:szCs w:val="30"/>
          <w:lang w:val="de-DE" w:eastAsia="de-DE"/>
        </w:rPr>
        <w:t>GRUNDBUCH UND KATASTER IN BOZEN</w:t>
      </w:r>
    </w:p>
    <w:p w:rsidR="00D124D9" w:rsidRPr="00475F58" w:rsidRDefault="00D124D9" w:rsidP="00D124D9">
      <w:pPr>
        <w:tabs>
          <w:tab w:val="left" w:pos="1503"/>
        </w:tabs>
        <w:jc w:val="both"/>
        <w:outlineLvl w:val="1"/>
        <w:rPr>
          <w:rFonts w:ascii="Arial" w:hAnsi="Arial" w:cs="Arial"/>
          <w:b/>
          <w:color w:val="000000" w:themeColor="text1"/>
          <w:sz w:val="21"/>
          <w:szCs w:val="21"/>
          <w:lang w:val="de-DE" w:eastAsia="de-DE"/>
        </w:rPr>
      </w:pPr>
      <w:r w:rsidRPr="00475F58">
        <w:rPr>
          <w:rFonts w:ascii="Arial" w:hAnsi="Arial" w:cs="Arial"/>
          <w:b/>
          <w:color w:val="000000" w:themeColor="text1"/>
          <w:sz w:val="21"/>
          <w:szCs w:val="21"/>
          <w:lang w:val="de-DE" w:eastAsia="de-DE"/>
        </w:rPr>
        <w:t>Das Grundbuch- und das Katasteramt Bozen öffnen</w:t>
      </w:r>
      <w:r>
        <w:rPr>
          <w:rFonts w:ascii="Arial" w:hAnsi="Arial" w:cs="Arial"/>
          <w:b/>
          <w:color w:val="000000" w:themeColor="text1"/>
          <w:sz w:val="21"/>
          <w:szCs w:val="21"/>
          <w:lang w:val="de-DE" w:eastAsia="de-DE"/>
        </w:rPr>
        <w:t xml:space="preserve">, stellvertretend für alle </w:t>
      </w:r>
      <w:proofErr w:type="spellStart"/>
      <w:r>
        <w:rPr>
          <w:rFonts w:ascii="Arial" w:hAnsi="Arial" w:cs="Arial"/>
          <w:b/>
          <w:color w:val="000000" w:themeColor="text1"/>
          <w:sz w:val="21"/>
          <w:szCs w:val="21"/>
          <w:lang w:val="de-DE" w:eastAsia="de-DE"/>
        </w:rPr>
        <w:t>Grundbuch-und</w:t>
      </w:r>
      <w:proofErr w:type="spellEnd"/>
      <w:r>
        <w:rPr>
          <w:rFonts w:ascii="Arial" w:hAnsi="Arial" w:cs="Arial"/>
          <w:b/>
          <w:color w:val="000000" w:themeColor="text1"/>
          <w:sz w:val="21"/>
          <w:szCs w:val="21"/>
          <w:lang w:val="de-DE" w:eastAsia="de-DE"/>
        </w:rPr>
        <w:t xml:space="preserve"> Katasterämter des Landes,</w:t>
      </w:r>
      <w:r w:rsidRPr="00475F58">
        <w:rPr>
          <w:rFonts w:ascii="Arial" w:hAnsi="Arial" w:cs="Arial"/>
          <w:b/>
          <w:color w:val="000000" w:themeColor="text1"/>
          <w:sz w:val="21"/>
          <w:szCs w:val="21"/>
          <w:lang w:val="de-DE" w:eastAsia="de-DE"/>
        </w:rPr>
        <w:t xml:space="preserve"> </w:t>
      </w:r>
      <w:r w:rsidRPr="006257DE">
        <w:rPr>
          <w:rFonts w:ascii="Arial" w:hAnsi="Arial" w:cs="Arial"/>
          <w:b/>
          <w:color w:val="000000" w:themeColor="text1"/>
          <w:sz w:val="21"/>
          <w:szCs w:val="21"/>
          <w:highlight w:val="yellow"/>
          <w:lang w:val="de-DE" w:eastAsia="de-DE"/>
        </w:rPr>
        <w:t>am 25. Oktober</w:t>
      </w:r>
      <w:r w:rsidRPr="00475F58">
        <w:rPr>
          <w:rFonts w:ascii="Arial" w:hAnsi="Arial" w:cs="Arial"/>
          <w:b/>
          <w:color w:val="000000" w:themeColor="text1"/>
          <w:sz w:val="21"/>
          <w:szCs w:val="21"/>
          <w:lang w:val="de-DE" w:eastAsia="de-DE"/>
        </w:rPr>
        <w:t xml:space="preserve"> in der Zeit von 08.30 bis 17.00 Uhr ihre Räumlichkeiten allen Interessierten und bieten interessante Einblicke in ihre Tätigkeit.</w:t>
      </w:r>
    </w:p>
    <w:p w:rsidR="00D124D9" w:rsidRPr="00475F58" w:rsidRDefault="00D124D9" w:rsidP="00D124D9">
      <w:pPr>
        <w:tabs>
          <w:tab w:val="left" w:pos="1503"/>
        </w:tabs>
        <w:jc w:val="both"/>
        <w:outlineLvl w:val="1"/>
        <w:rPr>
          <w:rFonts w:ascii="Arial" w:hAnsi="Arial" w:cs="Arial"/>
          <w:b/>
          <w:color w:val="000000" w:themeColor="text1"/>
          <w:sz w:val="21"/>
          <w:szCs w:val="21"/>
          <w:lang w:val="de-DE" w:eastAsia="de-DE"/>
        </w:rPr>
      </w:pPr>
    </w:p>
    <w:p w:rsidR="00D124D9" w:rsidRDefault="00D124D9" w:rsidP="00D124D9">
      <w:pPr>
        <w:tabs>
          <w:tab w:val="left" w:pos="1503"/>
        </w:tabs>
        <w:jc w:val="both"/>
        <w:outlineLvl w:val="1"/>
        <w:rPr>
          <w:rFonts w:ascii="Arial" w:hAnsi="Arial" w:cs="Arial"/>
          <w:b/>
          <w:color w:val="000000" w:themeColor="text1"/>
          <w:sz w:val="21"/>
          <w:szCs w:val="21"/>
          <w:lang w:val="de-DE" w:eastAsia="de-DE"/>
        </w:rPr>
      </w:pPr>
      <w:r w:rsidRPr="00475F58">
        <w:rPr>
          <w:rFonts w:ascii="Arial" w:hAnsi="Arial" w:cs="Arial"/>
          <w:b/>
          <w:color w:val="000000" w:themeColor="text1"/>
          <w:sz w:val="21"/>
          <w:szCs w:val="21"/>
          <w:lang w:val="de-DE" w:eastAsia="de-DE"/>
        </w:rPr>
        <w:t>Am Tag der offenen Tür soll den Besuchern ein Eindruck dieser modernen Verwaltung vermittelt werden. Folgende Stationen erwarten den Besucher:</w:t>
      </w:r>
    </w:p>
    <w:p w:rsidR="00D124D9" w:rsidRPr="00475F58" w:rsidRDefault="00D124D9" w:rsidP="00D124D9">
      <w:pPr>
        <w:tabs>
          <w:tab w:val="left" w:pos="1503"/>
        </w:tabs>
        <w:jc w:val="both"/>
        <w:outlineLvl w:val="1"/>
        <w:rPr>
          <w:rFonts w:ascii="Arial" w:hAnsi="Arial" w:cs="Arial"/>
          <w:b/>
          <w:color w:val="000000" w:themeColor="text1"/>
          <w:sz w:val="21"/>
          <w:szCs w:val="21"/>
          <w:lang w:val="de-DE" w:eastAsia="de-DE"/>
        </w:rPr>
      </w:pPr>
    </w:p>
    <w:p w:rsidR="00D124D9" w:rsidRPr="00475F58" w:rsidRDefault="00D124D9" w:rsidP="00D124D9">
      <w:pPr>
        <w:pStyle w:val="Paragrafoelenco"/>
        <w:numPr>
          <w:ilvl w:val="0"/>
          <w:numId w:val="1"/>
        </w:numPr>
        <w:tabs>
          <w:tab w:val="left" w:pos="357"/>
        </w:tabs>
        <w:spacing w:after="0"/>
        <w:ind w:left="357" w:hanging="357"/>
        <w:jc w:val="both"/>
        <w:outlineLvl w:val="1"/>
        <w:rPr>
          <w:rFonts w:ascii="Arial" w:hAnsi="Arial" w:cs="Arial"/>
          <w:b/>
          <w:color w:val="000000" w:themeColor="text1"/>
          <w:sz w:val="21"/>
          <w:szCs w:val="21"/>
          <w:lang w:val="de-DE" w:eastAsia="de-DE"/>
        </w:rPr>
      </w:pPr>
      <w:r w:rsidRPr="00475F58">
        <w:rPr>
          <w:rFonts w:ascii="Arial" w:hAnsi="Arial" w:cs="Arial"/>
          <w:b/>
          <w:color w:val="000000" w:themeColor="text1"/>
          <w:sz w:val="21"/>
          <w:szCs w:val="21"/>
          <w:lang w:val="de-DE" w:eastAsia="de-DE"/>
        </w:rPr>
        <w:t xml:space="preserve">die Entstehung der Katasterkarten im Wandel der Zeit. Anhand von ausgestellten Unterlagen des Steuerkatasters erläutern Fachleute des Landesarchives die Vorläufer des Katasters. Eine Ausstellung von historischen Messinstrumenten aus der </w:t>
      </w:r>
      <w:r w:rsidRPr="00475F58">
        <w:rPr>
          <w:rFonts w:ascii="Arial" w:hAnsi="Arial" w:cs="Arial"/>
          <w:b/>
          <w:i/>
          <w:color w:val="000000" w:themeColor="text1"/>
          <w:sz w:val="21"/>
          <w:szCs w:val="21"/>
          <w:lang w:val="de-DE" w:eastAsia="de-DE"/>
        </w:rPr>
        <w:t>„historischen Ausstellung von Grundbuch und Kataster</w:t>
      </w:r>
      <w:r w:rsidRPr="00475F58">
        <w:rPr>
          <w:rFonts w:ascii="Arial" w:hAnsi="Arial" w:cs="Arial"/>
          <w:b/>
          <w:color w:val="000000" w:themeColor="text1"/>
          <w:sz w:val="21"/>
          <w:szCs w:val="21"/>
          <w:lang w:val="de-DE" w:eastAsia="de-DE"/>
        </w:rPr>
        <w:t xml:space="preserve">“ in Trient, zeigt den Weg von der </w:t>
      </w:r>
      <w:proofErr w:type="spellStart"/>
      <w:r w:rsidRPr="00475F58">
        <w:rPr>
          <w:rFonts w:ascii="Arial" w:hAnsi="Arial" w:cs="Arial"/>
          <w:b/>
          <w:color w:val="000000" w:themeColor="text1"/>
          <w:sz w:val="21"/>
          <w:szCs w:val="21"/>
          <w:lang w:val="de-DE" w:eastAsia="de-DE"/>
        </w:rPr>
        <w:t>Urkarte</w:t>
      </w:r>
      <w:proofErr w:type="spellEnd"/>
      <w:r w:rsidRPr="00475F58">
        <w:rPr>
          <w:rFonts w:ascii="Arial" w:hAnsi="Arial" w:cs="Arial"/>
          <w:b/>
          <w:color w:val="000000" w:themeColor="text1"/>
          <w:sz w:val="21"/>
          <w:szCs w:val="21"/>
          <w:lang w:val="de-DE" w:eastAsia="de-DE"/>
        </w:rPr>
        <w:t xml:space="preserve"> hin zum graphischen Informationssystem. Im Gegensatz dazu stehen die modernen Instrumente. Antike Büroeinrichtung aus dem 19. Jahrhundert zeigt die damaligen Arbeitsbedingungen auf.</w:t>
      </w:r>
    </w:p>
    <w:p w:rsidR="00D124D9" w:rsidRPr="00475F58" w:rsidRDefault="00D124D9" w:rsidP="00D124D9">
      <w:pPr>
        <w:pStyle w:val="Paragrafoelenco"/>
        <w:tabs>
          <w:tab w:val="left" w:pos="357"/>
        </w:tabs>
        <w:spacing w:after="0"/>
        <w:ind w:left="357"/>
        <w:jc w:val="both"/>
        <w:outlineLvl w:val="1"/>
        <w:rPr>
          <w:rFonts w:ascii="Arial" w:hAnsi="Arial" w:cs="Arial"/>
          <w:b/>
          <w:color w:val="000000" w:themeColor="text1"/>
          <w:sz w:val="21"/>
          <w:szCs w:val="21"/>
          <w:lang w:val="de-DE" w:eastAsia="de-DE"/>
        </w:rPr>
      </w:pPr>
    </w:p>
    <w:p w:rsidR="00D124D9" w:rsidRPr="00475F58" w:rsidRDefault="00D124D9" w:rsidP="00D124D9">
      <w:pPr>
        <w:pStyle w:val="Paragrafoelenco"/>
        <w:numPr>
          <w:ilvl w:val="0"/>
          <w:numId w:val="1"/>
        </w:numPr>
        <w:tabs>
          <w:tab w:val="left" w:pos="357"/>
        </w:tabs>
        <w:spacing w:after="0"/>
        <w:ind w:left="357" w:hanging="357"/>
        <w:jc w:val="both"/>
        <w:outlineLvl w:val="1"/>
        <w:rPr>
          <w:rFonts w:ascii="Arial" w:hAnsi="Arial" w:cs="Arial"/>
          <w:b/>
          <w:color w:val="000000" w:themeColor="text1"/>
          <w:sz w:val="21"/>
          <w:szCs w:val="21"/>
          <w:lang w:val="de-DE" w:eastAsia="de-DE"/>
        </w:rPr>
      </w:pPr>
      <w:r w:rsidRPr="00475F58">
        <w:rPr>
          <w:rFonts w:ascii="Arial" w:hAnsi="Arial" w:cs="Arial"/>
          <w:b/>
          <w:color w:val="000000" w:themeColor="text1"/>
          <w:sz w:val="21"/>
          <w:szCs w:val="21"/>
          <w:lang w:val="de-DE" w:eastAsia="de-DE"/>
        </w:rPr>
        <w:t xml:space="preserve">vom </w:t>
      </w:r>
      <w:proofErr w:type="spellStart"/>
      <w:r w:rsidRPr="00475F58">
        <w:rPr>
          <w:rFonts w:ascii="Arial" w:hAnsi="Arial" w:cs="Arial"/>
          <w:b/>
          <w:color w:val="000000" w:themeColor="text1"/>
          <w:sz w:val="21"/>
          <w:szCs w:val="21"/>
          <w:lang w:val="de-DE" w:eastAsia="de-DE"/>
        </w:rPr>
        <w:t>Verfachbuch</w:t>
      </w:r>
      <w:proofErr w:type="spellEnd"/>
      <w:r w:rsidRPr="00475F58">
        <w:rPr>
          <w:rFonts w:ascii="Arial" w:hAnsi="Arial" w:cs="Arial"/>
          <w:b/>
          <w:color w:val="000000" w:themeColor="text1"/>
          <w:sz w:val="21"/>
          <w:szCs w:val="21"/>
          <w:lang w:val="de-DE" w:eastAsia="de-DE"/>
        </w:rPr>
        <w:t xml:space="preserve"> bis zum digitalen Grundbuch: anhand von ausgestellten </w:t>
      </w:r>
      <w:proofErr w:type="spellStart"/>
      <w:r w:rsidRPr="00475F58">
        <w:rPr>
          <w:rFonts w:ascii="Arial" w:hAnsi="Arial" w:cs="Arial"/>
          <w:b/>
          <w:color w:val="000000" w:themeColor="text1"/>
          <w:sz w:val="21"/>
          <w:szCs w:val="21"/>
          <w:lang w:val="de-DE" w:eastAsia="de-DE"/>
        </w:rPr>
        <w:t>Verfachbüchern</w:t>
      </w:r>
      <w:proofErr w:type="spellEnd"/>
      <w:r w:rsidRPr="00475F58">
        <w:rPr>
          <w:rFonts w:ascii="Arial" w:hAnsi="Arial" w:cs="Arial"/>
          <w:b/>
          <w:color w:val="000000" w:themeColor="text1"/>
          <w:sz w:val="21"/>
          <w:szCs w:val="21"/>
          <w:lang w:val="de-DE" w:eastAsia="de-DE"/>
        </w:rPr>
        <w:t xml:space="preserve"> wird von Fachleuten des Landesarchives der Vorläufer des Grundbuches erläutert, anschließend wird von Mitarbeitern des Grundbuchsamtes die Funktionsweise des Grundbuches anhand des vormaligen Hauptbuches und des nunmehrigen digitalen Grundbuches erläutert. Auch hier zeigt antike Büroeinrichtung aus dem 19. Jahrhundert die damaligen Arbeitsbedingungen auf.</w:t>
      </w:r>
    </w:p>
    <w:p w:rsidR="00D124D9" w:rsidRPr="00475F58" w:rsidRDefault="00D124D9" w:rsidP="00D124D9">
      <w:pPr>
        <w:pStyle w:val="Paragrafoelenco"/>
        <w:tabs>
          <w:tab w:val="left" w:pos="357"/>
        </w:tabs>
        <w:spacing w:after="0"/>
        <w:ind w:left="357"/>
        <w:jc w:val="both"/>
        <w:outlineLvl w:val="1"/>
        <w:rPr>
          <w:rFonts w:ascii="Arial" w:hAnsi="Arial" w:cs="Arial"/>
          <w:b/>
          <w:color w:val="000000" w:themeColor="text1"/>
          <w:sz w:val="21"/>
          <w:szCs w:val="21"/>
          <w:lang w:val="de-DE" w:eastAsia="de-DE"/>
        </w:rPr>
      </w:pPr>
    </w:p>
    <w:p w:rsidR="00D124D9" w:rsidRPr="00475F58" w:rsidRDefault="00D124D9" w:rsidP="00D124D9">
      <w:pPr>
        <w:pStyle w:val="Paragrafoelenco"/>
        <w:numPr>
          <w:ilvl w:val="0"/>
          <w:numId w:val="1"/>
        </w:numPr>
        <w:tabs>
          <w:tab w:val="left" w:pos="357"/>
        </w:tabs>
        <w:spacing w:after="0"/>
        <w:ind w:left="357" w:hanging="357"/>
        <w:jc w:val="both"/>
        <w:outlineLvl w:val="1"/>
        <w:rPr>
          <w:rFonts w:ascii="Arial" w:hAnsi="Arial" w:cs="Arial"/>
          <w:b/>
          <w:color w:val="000000" w:themeColor="text1"/>
          <w:sz w:val="21"/>
          <w:szCs w:val="21"/>
          <w:lang w:val="de-DE" w:eastAsia="de-DE"/>
        </w:rPr>
      </w:pPr>
      <w:r w:rsidRPr="00475F58">
        <w:rPr>
          <w:rFonts w:ascii="Arial" w:hAnsi="Arial" w:cs="Arial"/>
          <w:b/>
          <w:color w:val="000000" w:themeColor="text1"/>
          <w:sz w:val="21"/>
          <w:szCs w:val="21"/>
          <w:lang w:val="de-DE" w:eastAsia="de-DE"/>
        </w:rPr>
        <w:t>Führungen in deutscher (Führungsbeginn um 09.00 und um 14.00 Uhr) oder italienischer Sprache (Führungsbeginn um 11.30 und um 15.00 Uhr) (Voranmeldung erwünscht).</w:t>
      </w:r>
    </w:p>
    <w:p w:rsidR="00D124D9" w:rsidRPr="00475F58" w:rsidRDefault="00D124D9" w:rsidP="00D124D9">
      <w:pPr>
        <w:pStyle w:val="Paragrafoelenco"/>
        <w:rPr>
          <w:rFonts w:ascii="Arial" w:hAnsi="Arial" w:cs="Arial"/>
          <w:b/>
          <w:color w:val="000000" w:themeColor="text1"/>
          <w:sz w:val="21"/>
          <w:szCs w:val="21"/>
          <w:lang w:val="de-DE" w:eastAsia="de-DE"/>
        </w:rPr>
      </w:pPr>
    </w:p>
    <w:p w:rsidR="00D124D9" w:rsidRPr="00475F58" w:rsidRDefault="00D124D9" w:rsidP="00D124D9">
      <w:pPr>
        <w:pStyle w:val="Paragrafoelenco"/>
        <w:numPr>
          <w:ilvl w:val="0"/>
          <w:numId w:val="1"/>
        </w:numPr>
        <w:tabs>
          <w:tab w:val="left" w:pos="357"/>
        </w:tabs>
        <w:spacing w:after="0"/>
        <w:ind w:left="357" w:hanging="357"/>
        <w:jc w:val="both"/>
        <w:outlineLvl w:val="1"/>
        <w:rPr>
          <w:rFonts w:ascii="Arial" w:hAnsi="Arial" w:cs="Arial"/>
          <w:b/>
          <w:color w:val="000000" w:themeColor="text1"/>
          <w:sz w:val="21"/>
          <w:szCs w:val="21"/>
          <w:lang w:val="de-DE" w:eastAsia="de-DE"/>
        </w:rPr>
      </w:pPr>
      <w:r w:rsidRPr="00475F58">
        <w:rPr>
          <w:rFonts w:ascii="Arial" w:hAnsi="Arial" w:cs="Arial"/>
          <w:b/>
          <w:color w:val="000000" w:themeColor="text1"/>
          <w:sz w:val="21"/>
          <w:szCs w:val="21"/>
          <w:lang w:val="de-DE" w:eastAsia="de-DE"/>
        </w:rPr>
        <w:t>freie Besichtigung</w:t>
      </w:r>
    </w:p>
    <w:p w:rsidR="00D124D9" w:rsidRPr="00475F58" w:rsidRDefault="00D124D9" w:rsidP="00D124D9">
      <w:pPr>
        <w:pStyle w:val="Paragrafoelenco"/>
        <w:rPr>
          <w:rFonts w:ascii="Arial" w:hAnsi="Arial" w:cs="Arial"/>
          <w:b/>
          <w:color w:val="000000" w:themeColor="text1"/>
          <w:sz w:val="21"/>
          <w:szCs w:val="21"/>
          <w:lang w:val="de-DE" w:eastAsia="de-DE"/>
        </w:rPr>
      </w:pPr>
    </w:p>
    <w:p w:rsidR="00D124D9" w:rsidRPr="00475F58" w:rsidRDefault="00D124D9" w:rsidP="00D124D9">
      <w:pPr>
        <w:pStyle w:val="Paragrafoelenco"/>
        <w:numPr>
          <w:ilvl w:val="0"/>
          <w:numId w:val="1"/>
        </w:numPr>
        <w:tabs>
          <w:tab w:val="left" w:pos="357"/>
        </w:tabs>
        <w:spacing w:after="0"/>
        <w:ind w:left="357" w:hanging="357"/>
        <w:jc w:val="both"/>
        <w:outlineLvl w:val="1"/>
        <w:rPr>
          <w:rFonts w:ascii="Arial" w:hAnsi="Arial" w:cs="Arial"/>
          <w:b/>
          <w:color w:val="000000" w:themeColor="text1"/>
          <w:sz w:val="21"/>
          <w:szCs w:val="21"/>
          <w:lang w:val="de-DE" w:eastAsia="de-DE"/>
        </w:rPr>
      </w:pPr>
      <w:r w:rsidRPr="00475F58">
        <w:rPr>
          <w:rFonts w:ascii="Arial" w:hAnsi="Arial" w:cs="Arial"/>
          <w:b/>
          <w:color w:val="000000" w:themeColor="text1"/>
          <w:sz w:val="21"/>
          <w:szCs w:val="21"/>
          <w:lang w:val="de-DE" w:eastAsia="de-DE"/>
        </w:rPr>
        <w:t>in Dauerschleife laufende Filmvorführungen über „</w:t>
      </w:r>
      <w:r w:rsidRPr="00475F58">
        <w:rPr>
          <w:rFonts w:ascii="Arial" w:hAnsi="Arial" w:cs="Arial"/>
          <w:b/>
          <w:i/>
          <w:color w:val="000000" w:themeColor="text1"/>
          <w:sz w:val="21"/>
          <w:szCs w:val="21"/>
          <w:lang w:val="de-DE" w:eastAsia="de-DE"/>
        </w:rPr>
        <w:t>200-Jahre Kataster</w:t>
      </w:r>
      <w:r w:rsidRPr="00475F58">
        <w:rPr>
          <w:rFonts w:ascii="Arial" w:hAnsi="Arial" w:cs="Arial"/>
          <w:b/>
          <w:color w:val="000000" w:themeColor="text1"/>
          <w:sz w:val="21"/>
          <w:szCs w:val="21"/>
          <w:lang w:val="de-DE" w:eastAsia="de-DE"/>
        </w:rPr>
        <w:t>“ und der „</w:t>
      </w:r>
      <w:r w:rsidRPr="00475F58">
        <w:rPr>
          <w:rFonts w:ascii="Arial" w:hAnsi="Arial" w:cs="Arial"/>
          <w:b/>
          <w:i/>
          <w:color w:val="000000" w:themeColor="text1"/>
          <w:sz w:val="21"/>
          <w:szCs w:val="21"/>
          <w:lang w:val="de-DE" w:eastAsia="de-DE"/>
        </w:rPr>
        <w:t>historischen Ausstellung von Grundbuch und Kataster</w:t>
      </w:r>
      <w:r w:rsidRPr="00475F58">
        <w:rPr>
          <w:rFonts w:ascii="Arial" w:hAnsi="Arial" w:cs="Arial"/>
          <w:b/>
          <w:color w:val="000000" w:themeColor="text1"/>
          <w:sz w:val="21"/>
          <w:szCs w:val="21"/>
          <w:lang w:val="de-DE" w:eastAsia="de-DE"/>
        </w:rPr>
        <w:t>“ in Trient</w:t>
      </w:r>
    </w:p>
    <w:p w:rsidR="00D124D9" w:rsidRPr="00475F58" w:rsidRDefault="00D124D9" w:rsidP="00D124D9">
      <w:pPr>
        <w:pStyle w:val="Paragrafoelenco"/>
        <w:rPr>
          <w:rFonts w:ascii="Arial" w:hAnsi="Arial" w:cs="Arial"/>
          <w:b/>
          <w:color w:val="000000" w:themeColor="text1"/>
          <w:sz w:val="21"/>
          <w:szCs w:val="21"/>
          <w:lang w:val="de-DE" w:eastAsia="de-DE"/>
        </w:rPr>
      </w:pPr>
    </w:p>
    <w:p w:rsidR="00D124D9" w:rsidRPr="00475F58" w:rsidRDefault="00D124D9" w:rsidP="00D124D9">
      <w:pPr>
        <w:pStyle w:val="Paragrafoelenco"/>
        <w:numPr>
          <w:ilvl w:val="0"/>
          <w:numId w:val="1"/>
        </w:numPr>
        <w:tabs>
          <w:tab w:val="left" w:pos="357"/>
        </w:tabs>
        <w:spacing w:after="0"/>
        <w:ind w:left="357" w:hanging="357"/>
        <w:jc w:val="both"/>
        <w:outlineLvl w:val="1"/>
        <w:rPr>
          <w:rFonts w:ascii="Arial" w:hAnsi="Arial" w:cs="Arial"/>
          <w:b/>
          <w:color w:val="000000" w:themeColor="text1"/>
          <w:sz w:val="21"/>
          <w:szCs w:val="21"/>
          <w:lang w:val="de-DE" w:eastAsia="de-DE"/>
        </w:rPr>
      </w:pPr>
      <w:r w:rsidRPr="00475F58">
        <w:rPr>
          <w:rFonts w:ascii="Arial" w:hAnsi="Arial" w:cs="Arial"/>
          <w:b/>
          <w:color w:val="000000" w:themeColor="text1"/>
          <w:sz w:val="21"/>
          <w:szCs w:val="21"/>
          <w:lang w:val="de-DE" w:eastAsia="de-DE"/>
        </w:rPr>
        <w:t>kurzes Preis-Quiz über die Inhalte der Ausstellung</w:t>
      </w:r>
    </w:p>
    <w:p w:rsidR="00D124D9" w:rsidRPr="00475F58" w:rsidRDefault="00D124D9" w:rsidP="00D124D9">
      <w:pPr>
        <w:pStyle w:val="Paragrafoelenco"/>
        <w:rPr>
          <w:rFonts w:ascii="Arial" w:hAnsi="Arial" w:cs="Arial"/>
          <w:b/>
          <w:color w:val="000000" w:themeColor="text1"/>
          <w:sz w:val="21"/>
          <w:szCs w:val="21"/>
          <w:lang w:val="de-DE" w:eastAsia="de-DE"/>
        </w:rPr>
      </w:pPr>
      <w:r>
        <w:rPr>
          <w:noProof/>
        </w:rPr>
        <w:drawing>
          <wp:anchor distT="0" distB="0" distL="114300" distR="114300" simplePos="0" relativeHeight="251659264" behindDoc="0" locked="0" layoutInCell="1" allowOverlap="1" wp14:anchorId="1656FC2B" wp14:editId="2214CD92">
            <wp:simplePos x="0" y="0"/>
            <wp:positionH relativeFrom="page">
              <wp:posOffset>1229390</wp:posOffset>
            </wp:positionH>
            <wp:positionV relativeFrom="paragraph">
              <wp:posOffset>90805</wp:posOffset>
            </wp:positionV>
            <wp:extent cx="3552825" cy="2394398"/>
            <wp:effectExtent l="0" t="0" r="0" b="6350"/>
            <wp:wrapNone/>
            <wp:docPr id="7" name="Immagine 6">
              <a:extLst xmlns:a="http://schemas.openxmlformats.org/drawingml/2006/main">
                <a:ext uri="{FF2B5EF4-FFF2-40B4-BE49-F238E27FC236}">
                  <a16:creationId xmlns:a16="http://schemas.microsoft.com/office/drawing/2014/main" id="{BE73B692-9EDC-4E00-9823-7E30E1E493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BE73B692-9EDC-4E00-9823-7E30E1E4931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2825" cy="239439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124D9" w:rsidRPr="00475F58" w:rsidRDefault="00D124D9" w:rsidP="00D124D9">
      <w:pPr>
        <w:tabs>
          <w:tab w:val="left" w:pos="1503"/>
        </w:tabs>
        <w:spacing w:after="150"/>
        <w:jc w:val="both"/>
        <w:outlineLvl w:val="1"/>
        <w:rPr>
          <w:rFonts w:ascii="Arial" w:hAnsi="Arial" w:cs="Arial"/>
          <w:b/>
          <w:color w:val="000000" w:themeColor="text1"/>
          <w:sz w:val="21"/>
          <w:szCs w:val="21"/>
          <w:lang w:val="de-DE" w:eastAsia="de-DE"/>
        </w:rPr>
      </w:pPr>
    </w:p>
    <w:p w:rsidR="00D124D9" w:rsidRPr="00475F58" w:rsidRDefault="00D124D9" w:rsidP="00D124D9">
      <w:pPr>
        <w:tabs>
          <w:tab w:val="left" w:pos="1503"/>
        </w:tabs>
        <w:spacing w:after="150"/>
        <w:jc w:val="both"/>
        <w:outlineLvl w:val="1"/>
        <w:rPr>
          <w:rFonts w:ascii="Arial" w:hAnsi="Arial" w:cs="Arial"/>
          <w:color w:val="000000" w:themeColor="text1"/>
          <w:sz w:val="21"/>
          <w:szCs w:val="21"/>
          <w:lang w:val="de-DE" w:eastAsia="de-DE"/>
        </w:rPr>
      </w:pPr>
      <w:r>
        <w:rPr>
          <w:noProof/>
        </w:rPr>
        <w:drawing>
          <wp:anchor distT="0" distB="0" distL="114300" distR="114300" simplePos="0" relativeHeight="251660288" behindDoc="0" locked="0" layoutInCell="1" allowOverlap="1" wp14:anchorId="131F2C9D" wp14:editId="2DFF3CF5">
            <wp:simplePos x="0" y="0"/>
            <wp:positionH relativeFrom="margin">
              <wp:posOffset>1993933</wp:posOffset>
            </wp:positionH>
            <wp:positionV relativeFrom="paragraph">
              <wp:posOffset>56987</wp:posOffset>
            </wp:positionV>
            <wp:extent cx="3528582" cy="1984454"/>
            <wp:effectExtent l="133350" t="285750" r="129540" b="282575"/>
            <wp:wrapNone/>
            <wp:docPr id="3" name="Immagine 2" descr="Immagine che contiene testo&#10;&#10;Descrizione generata con affidabilità molto elevata">
              <a:extLst xmlns:a="http://schemas.openxmlformats.org/drawingml/2006/main">
                <a:ext uri="{FF2B5EF4-FFF2-40B4-BE49-F238E27FC236}">
                  <a16:creationId xmlns:a16="http://schemas.microsoft.com/office/drawing/2014/main" id="{6C3879E8-1EB4-43BD-96EB-88A9C64F9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testo&#10;&#10;Descrizione generata con affidabilità molto elevata">
                      <a:extLst>
                        <a:ext uri="{FF2B5EF4-FFF2-40B4-BE49-F238E27FC236}">
                          <a16:creationId xmlns:a16="http://schemas.microsoft.com/office/drawing/2014/main" id="{6C3879E8-1EB4-43BD-96EB-88A9C64F97E3}"/>
                        </a:ext>
                      </a:extLst>
                    </pic:cNvPr>
                    <pic:cNvPicPr>
                      <a:picLocks noChangeAspect="1"/>
                    </pic:cNvPicPr>
                  </pic:nvPicPr>
                  <pic:blipFill rotWithShape="1">
                    <a:blip r:embed="rId6" cstate="print">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t="4804" b="5911"/>
                    <a:stretch/>
                  </pic:blipFill>
                  <pic:spPr>
                    <a:xfrm rot="21031517">
                      <a:off x="0" y="0"/>
                      <a:ext cx="3533976" cy="198748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124D9" w:rsidRDefault="00D124D9" w:rsidP="00D124D9">
      <w:pPr>
        <w:tabs>
          <w:tab w:val="left" w:pos="1503"/>
        </w:tabs>
        <w:spacing w:after="150"/>
        <w:jc w:val="both"/>
        <w:outlineLvl w:val="1"/>
        <w:rPr>
          <w:rFonts w:ascii="Arial" w:hAnsi="Arial" w:cs="Arial"/>
          <w:color w:val="000000"/>
          <w:sz w:val="21"/>
          <w:szCs w:val="21"/>
          <w:lang w:val="de-DE" w:eastAsia="de-DE"/>
        </w:rPr>
      </w:pPr>
    </w:p>
    <w:p w:rsidR="00D124D9" w:rsidRDefault="00D124D9" w:rsidP="00D124D9">
      <w:pPr>
        <w:tabs>
          <w:tab w:val="left" w:pos="1503"/>
        </w:tabs>
        <w:spacing w:after="150"/>
        <w:jc w:val="both"/>
        <w:outlineLvl w:val="1"/>
        <w:rPr>
          <w:rFonts w:ascii="Arial" w:hAnsi="Arial" w:cs="Arial"/>
          <w:color w:val="000000"/>
          <w:sz w:val="21"/>
          <w:szCs w:val="21"/>
          <w:lang w:val="de-DE" w:eastAsia="de-DE"/>
        </w:rPr>
      </w:pPr>
    </w:p>
    <w:p w:rsidR="00D124D9" w:rsidRDefault="00D124D9" w:rsidP="00D124D9">
      <w:pPr>
        <w:tabs>
          <w:tab w:val="left" w:pos="1503"/>
        </w:tabs>
        <w:spacing w:after="150"/>
        <w:jc w:val="both"/>
        <w:outlineLvl w:val="1"/>
        <w:rPr>
          <w:rFonts w:ascii="Arial" w:hAnsi="Arial" w:cs="Arial"/>
          <w:color w:val="000000"/>
          <w:sz w:val="21"/>
          <w:szCs w:val="21"/>
          <w:lang w:val="de-DE" w:eastAsia="de-DE"/>
        </w:rPr>
      </w:pPr>
    </w:p>
    <w:p w:rsidR="00D124D9" w:rsidRDefault="00D124D9" w:rsidP="00D124D9">
      <w:pPr>
        <w:tabs>
          <w:tab w:val="left" w:pos="1503"/>
        </w:tabs>
        <w:spacing w:after="150"/>
        <w:jc w:val="both"/>
        <w:outlineLvl w:val="1"/>
        <w:rPr>
          <w:rFonts w:ascii="Arial" w:hAnsi="Arial" w:cs="Arial"/>
          <w:color w:val="000000"/>
          <w:sz w:val="21"/>
          <w:szCs w:val="21"/>
          <w:lang w:val="de-DE" w:eastAsia="de-DE"/>
        </w:rPr>
      </w:pPr>
    </w:p>
    <w:p w:rsidR="00D124D9" w:rsidRDefault="00D124D9" w:rsidP="00D124D9">
      <w:pPr>
        <w:tabs>
          <w:tab w:val="left" w:pos="1503"/>
        </w:tabs>
        <w:spacing w:after="150"/>
        <w:jc w:val="both"/>
        <w:outlineLvl w:val="1"/>
        <w:rPr>
          <w:rFonts w:ascii="Arial" w:hAnsi="Arial" w:cs="Arial"/>
          <w:color w:val="000000"/>
          <w:sz w:val="21"/>
          <w:szCs w:val="21"/>
          <w:lang w:val="de-DE" w:eastAsia="de-DE"/>
        </w:rPr>
      </w:pPr>
    </w:p>
    <w:p w:rsidR="00D124D9" w:rsidRDefault="00D124D9" w:rsidP="00D124D9">
      <w:pPr>
        <w:tabs>
          <w:tab w:val="left" w:pos="1503"/>
        </w:tabs>
        <w:spacing w:after="150"/>
        <w:jc w:val="both"/>
        <w:outlineLvl w:val="1"/>
        <w:rPr>
          <w:rFonts w:ascii="Arial" w:hAnsi="Arial" w:cs="Arial"/>
          <w:color w:val="000000"/>
          <w:sz w:val="21"/>
          <w:szCs w:val="21"/>
          <w:lang w:val="de-DE" w:eastAsia="de-DE"/>
        </w:rPr>
      </w:pPr>
    </w:p>
    <w:p w:rsidR="005B3280" w:rsidRPr="00D124D9" w:rsidRDefault="005B3280">
      <w:pPr>
        <w:rPr>
          <w:lang w:val="de-DE"/>
        </w:rPr>
      </w:pPr>
      <w:bookmarkStart w:id="0" w:name="_GoBack"/>
      <w:bookmarkEnd w:id="0"/>
    </w:p>
    <w:sectPr w:rsidR="005B3280" w:rsidRPr="00D124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panose1 w:val="020B0606030504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81B6C"/>
    <w:multiLevelType w:val="hybridMultilevel"/>
    <w:tmpl w:val="DA629B2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D9"/>
    <w:rsid w:val="00215789"/>
    <w:rsid w:val="005B3280"/>
    <w:rsid w:val="008E20FA"/>
    <w:rsid w:val="00A05AAD"/>
    <w:rsid w:val="00D124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E76648-CE74-4B17-B6C6-AD3C7275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124D9"/>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24D9"/>
    <w:pPr>
      <w:spacing w:after="160" w:line="259" w:lineRule="auto"/>
      <w:ind w:left="720"/>
      <w:contextualSpacing/>
    </w:pPr>
    <w:rPr>
      <w:rFonts w:asciiTheme="minorHAnsi" w:eastAsiaTheme="minorHAnsi" w:hAnsiTheme="minorHAnsi" w:cstheme="minorBid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D053E72F</Template>
  <TotalTime>0</TotalTime>
  <Pages>1</Pages>
  <Words>241</Words>
  <Characters>1582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Amistadi, Silvana</dc:creator>
  <cp:keywords/>
  <dc:description/>
  <cp:lastModifiedBy>Amistadi, Silvana</cp:lastModifiedBy>
  <cp:revision>1</cp:revision>
  <dcterms:created xsi:type="dcterms:W3CDTF">2019-10-21T10:08:00Z</dcterms:created>
  <dcterms:modified xsi:type="dcterms:W3CDTF">2019-10-21T10:09:00Z</dcterms:modified>
</cp:coreProperties>
</file>